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snapToGrid w:val="0"/>
          <w:color w:val="auto"/>
          <w:kern w:val="0"/>
          <w:sz w:val="36"/>
          <w:szCs w:val="36"/>
          <w:lang w:val="en-US" w:eastAsia="en-US" w:bidi="ar-SA"/>
        </w:rPr>
        <w:id w:val="147473421"/>
        <w15:color w:val="DBDBDB"/>
        <w:docPartObj>
          <w:docPartGallery w:val="Table of Contents"/>
          <w:docPartUnique/>
        </w:docPartObj>
      </w:sdtPr>
      <w:sdtEndPr>
        <w:rPr>
          <w:rFonts w:hint="eastAsia" w:ascii="仿宋_GB2312" w:hAnsi="仿宋_GB2312" w:eastAsia="仿宋_GB2312" w:cs="仿宋_GB2312"/>
          <w:b/>
          <w:snapToGrid w:val="0"/>
          <w:color w:val="auto"/>
          <w:kern w:val="0"/>
          <w:sz w:val="32"/>
          <w:szCs w:val="32"/>
          <w:lang w:val="en-US" w:eastAsia="en-US" w:bidi="ar-SA"/>
        </w:rPr>
      </w:sdtEndPr>
      <w:sdtContent>
        <w:p>
          <w:pPr>
            <w:keepNext w:val="0"/>
            <w:keepLines w:val="0"/>
            <w:pageBreakBefore w:val="0"/>
            <w:widowControl/>
            <w:wordWrap/>
            <w:overflowPunct/>
            <w:topLinePunct w:val="0"/>
            <w:bidi w:val="0"/>
            <w:spacing w:before="0" w:beforeLines="0" w:after="0" w:afterLines="0" w:line="360" w:lineRule="auto"/>
            <w:ind w:left="0" w:leftChars="0" w:right="0" w:rightChars="0" w:firstLine="0" w:firstLineChars="0"/>
            <w:jc w:val="center"/>
            <w:rPr>
              <w:rFonts w:hint="eastAsia"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目</w:t>
          </w:r>
          <w:r>
            <w:rPr>
              <w:rFonts w:hint="eastAsia" w:ascii="方正小标宋简体" w:hAnsi="方正小标宋简体" w:eastAsia="方正小标宋简体" w:cs="方正小标宋简体"/>
              <w:color w:val="auto"/>
              <w:sz w:val="36"/>
              <w:szCs w:val="36"/>
              <w:lang w:val="en-US" w:eastAsia="zh-CN"/>
            </w:rPr>
            <w:t xml:space="preserve">    </w:t>
          </w:r>
          <w:r>
            <w:rPr>
              <w:rFonts w:hint="eastAsia" w:ascii="方正小标宋简体" w:hAnsi="方正小标宋简体" w:eastAsia="方正小标宋简体" w:cs="方正小标宋简体"/>
              <w:color w:val="auto"/>
              <w:sz w:val="36"/>
              <w:szCs w:val="36"/>
            </w:rPr>
            <w:t>录</w:t>
          </w:r>
        </w:p>
        <w:p>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TOC \o "1-2" \h \u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b/>
              <w:bCs/>
              <w:color w:val="auto"/>
              <w:sz w:val="32"/>
              <w:szCs w:val="32"/>
            </w:rPr>
            <w:fldChar w:fldCharType="begin"/>
          </w:r>
          <w:r>
            <w:rPr>
              <w:rFonts w:hint="eastAsia" w:ascii="仿宋_GB2312" w:hAnsi="仿宋_GB2312" w:eastAsia="仿宋_GB2312" w:cs="仿宋_GB2312"/>
              <w:b/>
              <w:bCs/>
              <w:sz w:val="32"/>
              <w:szCs w:val="32"/>
            </w:rPr>
            <w:instrText xml:space="preserve"> HYPERLINK \l _Toc15307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napToGrid/>
              <w:spacing w:val="0"/>
              <w:kern w:val="2"/>
              <w:position w:val="0"/>
              <w:sz w:val="32"/>
              <w:szCs w:val="32"/>
              <w:lang w:val="en-US" w:eastAsia="zh-CN" w:bidi="ar"/>
            </w:rPr>
            <w:t>一、总体情况</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_Toc15307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_Toc28621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_Toc28621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_Toc20336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（二）审查清理情况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_Toc20336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_Toc571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_Toc571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z w:val="32"/>
              <w:szCs w:val="32"/>
            </w:rPr>
            <w:fldChar w:fldCharType="begin"/>
          </w:r>
          <w:r>
            <w:rPr>
              <w:rFonts w:hint="eastAsia" w:ascii="仿宋_GB2312" w:hAnsi="仿宋_GB2312" w:eastAsia="仿宋_GB2312" w:cs="仿宋_GB2312"/>
              <w:b/>
              <w:bCs/>
              <w:sz w:val="32"/>
              <w:szCs w:val="32"/>
            </w:rPr>
            <w:instrText xml:space="preserve"> HYPERLINK \l _Toc26288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napToGrid/>
              <w:spacing w:val="0"/>
              <w:kern w:val="2"/>
              <w:position w:val="0"/>
              <w:sz w:val="32"/>
              <w:szCs w:val="32"/>
              <w:lang w:val="en-US" w:eastAsia="zh-CN" w:bidi="ar"/>
            </w:rPr>
            <w:t>二、评估发现的问题</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_Toc26288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z w:val="32"/>
              <w:szCs w:val="32"/>
            </w:rPr>
            <w:fldChar w:fldCharType="end"/>
          </w:r>
        </w:p>
        <w:p>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z w:val="32"/>
              <w:szCs w:val="32"/>
            </w:rPr>
            <w:fldChar w:fldCharType="begin"/>
          </w:r>
          <w:r>
            <w:rPr>
              <w:rFonts w:hint="eastAsia" w:ascii="仿宋_GB2312" w:hAnsi="仿宋_GB2312" w:eastAsia="仿宋_GB2312" w:cs="仿宋_GB2312"/>
              <w:b/>
              <w:bCs/>
              <w:sz w:val="32"/>
              <w:szCs w:val="32"/>
            </w:rPr>
            <w:instrText xml:space="preserve"> HYPERLINK \l _Toc11523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napToGrid/>
              <w:spacing w:val="0"/>
              <w:kern w:val="2"/>
              <w:position w:val="0"/>
              <w:sz w:val="32"/>
              <w:szCs w:val="32"/>
              <w:lang w:val="en-US" w:eastAsia="zh-CN" w:bidi="ar"/>
            </w:rPr>
            <w:t>三、评估结果</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_Toc11523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8</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_Toc100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pacing w:val="0"/>
              <w:kern w:val="2"/>
              <w:position w:val="0"/>
              <w:sz w:val="32"/>
              <w:szCs w:val="32"/>
              <w:lang w:val="en-US" w:eastAsia="zh-CN" w:bidi="ar"/>
            </w:rPr>
            <w:t>（一） 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_Toc20193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（二）政策措施抽样评估得分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_Toc20193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_Toc5757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（三）公平竞争审查第三方评估工作配合情况得分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_Toc5757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_Toc16285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（四）公平竞争审查第三方评估最终得分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sz w:val="32"/>
              <w:szCs w:val="32"/>
            </w:rPr>
            <w:fldChar w:fldCharType="begin"/>
          </w:r>
          <w:r>
            <w:rPr>
              <w:rFonts w:hint="eastAsia" w:ascii="仿宋_GB2312" w:hAnsi="仿宋_GB2312" w:eastAsia="仿宋_GB2312" w:cs="仿宋_GB2312"/>
              <w:b/>
              <w:bCs/>
              <w:sz w:val="32"/>
              <w:szCs w:val="32"/>
            </w:rPr>
            <w:instrText xml:space="preserve"> HYPERLINK \l _Toc14548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napToGrid/>
              <w:spacing w:val="0"/>
              <w:w w:val="100"/>
              <w:position w:val="0"/>
              <w:sz w:val="32"/>
              <w:szCs w:val="32"/>
            </w:rPr>
            <w:t>四、意见建议</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_Toc14548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_Toc21012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napToGrid/>
              <w:spacing w:val="0"/>
              <w:w w:val="100"/>
              <w:position w:val="0"/>
              <w:sz w:val="32"/>
              <w:szCs w:val="32"/>
              <w:lang w:eastAsia="zh-CN"/>
            </w:rPr>
            <w:t>（</w:t>
          </w:r>
          <w:r>
            <w:rPr>
              <w:rFonts w:hint="eastAsia" w:ascii="仿宋_GB2312" w:hAnsi="仿宋_GB2312" w:eastAsia="仿宋_GB2312" w:cs="仿宋_GB2312"/>
              <w:snapToGrid/>
              <w:spacing w:val="0"/>
              <w:w w:val="100"/>
              <w:position w:val="0"/>
              <w:sz w:val="32"/>
              <w:szCs w:val="32"/>
            </w:rPr>
            <w:t>一</w:t>
          </w:r>
          <w:r>
            <w:rPr>
              <w:rFonts w:hint="eastAsia" w:ascii="仿宋_GB2312" w:hAnsi="仿宋_GB2312" w:eastAsia="仿宋_GB2312" w:cs="仿宋_GB2312"/>
              <w:snapToGrid/>
              <w:spacing w:val="0"/>
              <w:w w:val="100"/>
              <w:position w:val="0"/>
              <w:sz w:val="32"/>
              <w:szCs w:val="32"/>
              <w:lang w:eastAsia="zh-CN"/>
            </w:rPr>
            <w:t>）</w:t>
          </w:r>
          <w:r>
            <w:rPr>
              <w:rFonts w:hint="eastAsia" w:ascii="仿宋_GB2312" w:hAnsi="仿宋_GB2312" w:eastAsia="仿宋_GB2312" w:cs="仿宋_GB2312"/>
              <w:snapToGrid/>
              <w:spacing w:val="0"/>
              <w:w w:val="100"/>
              <w:position w:val="0"/>
              <w:sz w:val="32"/>
              <w:szCs w:val="32"/>
            </w:rPr>
            <w:t>加强审查机制建设，健全审查机制保障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_Toc21012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_Toc3989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_Toc3989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_Toc13186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_Toc13186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_Toc2526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_Toc2526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_Toc31250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附件一：临泽县</w:t>
          </w:r>
          <w:r>
            <w:rPr>
              <w:rFonts w:hint="eastAsia" w:ascii="仿宋_GB2312" w:hAnsi="仿宋_GB2312" w:eastAsia="仿宋_GB2312" w:cs="仿宋_GB2312"/>
              <w:bCs/>
              <w:spacing w:val="0"/>
              <w:kern w:val="2"/>
              <w:position w:val="0"/>
              <w:sz w:val="32"/>
              <w:szCs w:val="32"/>
              <w:lang w:val="en-US" w:eastAsia="zh-CN" w:bidi="ar"/>
            </w:rPr>
            <w:t>政策措施</w:t>
          </w:r>
          <w:r>
            <w:rPr>
              <w:rFonts w:hint="eastAsia" w:ascii="仿宋_GB2312" w:hAnsi="仿宋_GB2312" w:eastAsia="仿宋_GB2312" w:cs="仿宋_GB2312"/>
              <w:bCs/>
              <w:snapToGrid/>
              <w:spacing w:val="0"/>
              <w:kern w:val="2"/>
              <w:position w:val="0"/>
              <w:sz w:val="32"/>
              <w:szCs w:val="32"/>
              <w:lang w:val="en-US" w:eastAsia="zh-CN" w:bidi="ar"/>
            </w:rPr>
            <w:t>文件目录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_Toc31250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_Toc25229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spacing w:val="0"/>
              <w:kern w:val="2"/>
              <w:position w:val="0"/>
              <w:sz w:val="32"/>
              <w:szCs w:val="32"/>
              <w:lang w:val="en-US" w:eastAsia="zh-CN" w:bidi="ar"/>
            </w:rPr>
            <w:t>附件二：临泽县</w:t>
          </w:r>
          <w:r>
            <w:rPr>
              <w:rFonts w:hint="eastAsia" w:ascii="仿宋_GB2312" w:hAnsi="仿宋_GB2312" w:eastAsia="仿宋_GB2312" w:cs="仿宋_GB2312"/>
              <w:bCs/>
              <w:kern w:val="2"/>
              <w:sz w:val="32"/>
              <w:szCs w:val="32"/>
              <w:highlight w:val="none"/>
              <w:lang w:val="en-US" w:eastAsia="zh-CN" w:bidi="ar"/>
            </w:rPr>
            <w:t>政策措施评估表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_Toc25229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rPr>
              <w:rFonts w:hint="eastAsia" w:ascii="仿宋_GB2312" w:hAnsi="仿宋_GB2312" w:eastAsia="仿宋_GB2312" w:cs="仿宋_GB2312"/>
              <w:b/>
              <w:snapToGrid w:val="0"/>
              <w:color w:val="auto"/>
              <w:kern w:val="0"/>
              <w:sz w:val="32"/>
              <w:szCs w:val="32"/>
              <w:lang w:val="en-US" w:eastAsia="en-US" w:bidi="ar-SA"/>
            </w:rPr>
          </w:pPr>
          <w:r>
            <w:rPr>
              <w:rFonts w:hint="eastAsia" w:ascii="仿宋_GB2312" w:hAnsi="仿宋_GB2312" w:eastAsia="仿宋_GB2312" w:cs="仿宋_GB2312"/>
              <w:color w:val="auto"/>
              <w:sz w:val="32"/>
              <w:szCs w:val="32"/>
            </w:rPr>
            <w:fldChar w:fldCharType="end"/>
          </w:r>
        </w:p>
      </w:sdtContent>
    </w:sdt>
    <w:p>
      <w:pPr>
        <w:pStyle w:val="2"/>
        <w:rPr>
          <w:rFonts w:hint="eastAsia"/>
        </w:rPr>
      </w:pP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snapToGrid/>
          <w:color w:val="auto"/>
          <w:spacing w:val="0"/>
          <w:kern w:val="2"/>
          <w:position w:val="0"/>
          <w:sz w:val="32"/>
          <w:szCs w:val="32"/>
          <w:lang w:val="en-US" w:eastAsia="zh-CN" w:bidi="ar"/>
        </w:rPr>
        <w:sectPr>
          <w:footerReference r:id="rId5" w:type="default"/>
          <w:pgSz w:w="11906" w:h="16839"/>
          <w:pgMar w:top="2098" w:right="1474" w:bottom="1984" w:left="1587" w:header="850" w:footer="1417" w:gutter="0"/>
          <w:pgBorders>
            <w:top w:val="none" w:sz="0" w:space="0"/>
            <w:left w:val="none" w:sz="0" w:space="0"/>
            <w:bottom w:val="none" w:sz="0" w:space="0"/>
            <w:right w:val="none" w:sz="0" w:space="0"/>
          </w:pgBorders>
          <w:pgNumType w:fmt="decimal" w:start="1"/>
          <w:cols w:space="0" w:num="1"/>
          <w:rtlGutter w:val="0"/>
          <w:docGrid w:linePitch="0" w:charSpace="0"/>
        </w:sectPr>
      </w:pPr>
      <w:bookmarkStart w:id="0" w:name="_Toc15307"/>
      <w:bookmarkStart w:id="1" w:name="_Toc872"/>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snapToGrid/>
          <w:color w:val="auto"/>
          <w:spacing w:val="0"/>
          <w:kern w:val="2"/>
          <w:position w:val="0"/>
          <w:sz w:val="32"/>
          <w:szCs w:val="32"/>
          <w:lang w:val="en-US" w:eastAsia="zh-CN" w:bidi="ar"/>
        </w:rPr>
      </w:pPr>
      <w:r>
        <w:rPr>
          <w:rFonts w:hint="eastAsia" w:ascii="黑体" w:hAnsi="黑体" w:eastAsia="黑体" w:cs="黑体"/>
          <w:b w:val="0"/>
          <w:bCs/>
          <w:snapToGrid/>
          <w:color w:val="auto"/>
          <w:spacing w:val="0"/>
          <w:kern w:val="2"/>
          <w:position w:val="0"/>
          <w:sz w:val="32"/>
          <w:szCs w:val="32"/>
          <w:lang w:val="en-US" w:eastAsia="zh-CN" w:bidi="ar"/>
        </w:rPr>
        <w:t>一、总体情况</w:t>
      </w:r>
      <w:bookmarkEnd w:id="0"/>
      <w:bookmarkEnd w:id="1"/>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当前，随着全面深化改革战略的持续推进，全国统一市场的基本形成，公平竞争环境逐步提升。但同时也要看到，地方保护、行业壁垒等不符合建设全国统一市场和公平竞争的现象仍然存在。为规范政府有关行为，防止出台排除、限制竞争的政策措施，逐步清理废除妨碍全国统一市场和公平竞争的规定和做法，国务院印发了《关于在市场体系建设中建立公平竞争审查制度的意见》（国发〔2016〕34号）（下文简称《意见》），部署建立公平竞争审查制度。</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在我国公平竞争审查制度中，第三方评估被作为一项重要的机制写入基本的制度设计。2021年，市场监管总局、国家发展改革委、财政部、商务部、司法部会同有关部门修订的《公平竞争审查制度实施细则》（下文简称《实施细则》）设立专章“第三方评估”，对有关第三方评估问题予以明确，该《实施细则》第二十条规定：“政策制定机关可以根据工作实际，委托具备相应评估能力的高等院校、科研院所、专业咨询公司、律师事务所等第三方机构，对有关政策措施进行公平竞争评估，或者对公平竞争审查有关工作进行评估。各级联席会议办公室可以委托第三方机构，对本地公平竞争审查制度总体实施情况开展评估”。</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2022年3月25日，中共中央、国务院发布《关于加快建设全</w:t>
      </w:r>
      <w:bookmarkStart w:id="2" w:name="bookmark5"/>
      <w:bookmarkEnd w:id="2"/>
      <w:r>
        <w:rPr>
          <w:rFonts w:hint="eastAsia" w:ascii="仿宋_GB2312" w:hAnsi="仿宋_GB2312" w:eastAsia="仿宋_GB2312" w:cs="仿宋_GB2312"/>
          <w:b w:val="0"/>
          <w:bCs/>
          <w:snapToGrid/>
          <w:color w:val="auto"/>
          <w:spacing w:val="0"/>
          <w:kern w:val="2"/>
          <w:position w:val="0"/>
          <w:sz w:val="32"/>
          <w:szCs w:val="32"/>
          <w:lang w:val="en-US" w:eastAsia="zh-CN" w:bidi="ar"/>
        </w:rPr>
        <w:t>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为进一步提高张掖市公平竞争审查质量，确保审查效果，推动制度深入实施，防止出台排除、限制市场公平竞争的政策措施，张掖市公平竞争审查工作部门联席会议办公室经过询价，遴选甘肃金彤律师事务所对张掖市22个市直部门单位、6个县区和1个经济技术开发区的公平竞争审查制度实施情况进行综合评估，出具评估报告。</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评估机构审查了临泽县提供的2021-2022年度发布的政策措施、填写调查表以及各项补充材料和佐证材料，系统总结了临泽县落实公平竞争审查制度、论证公平竞争制度的环境成效，梳理分析可能存在的问题和原因，提出进一步完善的意见建议。</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评估总体情况如下：</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 w:hAnsi="楷体" w:eastAsia="楷体" w:cs="楷体"/>
          <w:b w:val="0"/>
          <w:bCs/>
          <w:snapToGrid/>
          <w:color w:val="auto"/>
          <w:spacing w:val="0"/>
          <w:kern w:val="2"/>
          <w:position w:val="0"/>
          <w:sz w:val="32"/>
          <w:szCs w:val="32"/>
          <w:lang w:val="en-US" w:eastAsia="zh-CN" w:bidi="ar"/>
        </w:rPr>
      </w:pPr>
      <w:bookmarkStart w:id="3" w:name="_Toc28621"/>
      <w:r>
        <w:rPr>
          <w:rFonts w:hint="eastAsia" w:ascii="楷体" w:hAnsi="楷体" w:eastAsia="楷体" w:cs="楷体"/>
          <w:b w:val="0"/>
          <w:bCs/>
          <w:snapToGrid/>
          <w:color w:val="auto"/>
          <w:spacing w:val="0"/>
          <w:kern w:val="2"/>
          <w:position w:val="0"/>
          <w:sz w:val="32"/>
          <w:szCs w:val="32"/>
          <w:lang w:val="en-US" w:eastAsia="zh-CN" w:bidi="ar"/>
        </w:rPr>
        <w:t>（一）政策措施评估情况</w:t>
      </w:r>
      <w:bookmarkEnd w:id="3"/>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临泽县共提交41份政策措施，其中2021-2022年度的增量政策措施35份。经过审核，有5份增量措施违反公平竞争审查标准。</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 w:hAnsi="楷体" w:eastAsia="楷体" w:cs="楷体"/>
          <w:b w:val="0"/>
          <w:bCs/>
          <w:snapToGrid/>
          <w:color w:val="auto"/>
          <w:spacing w:val="0"/>
          <w:kern w:val="2"/>
          <w:position w:val="0"/>
          <w:sz w:val="32"/>
          <w:szCs w:val="32"/>
          <w:lang w:val="en-US" w:eastAsia="zh-CN" w:bidi="ar"/>
        </w:rPr>
      </w:pPr>
      <w:bookmarkStart w:id="4" w:name="_Toc20336"/>
      <w:r>
        <w:rPr>
          <w:rFonts w:hint="eastAsia" w:ascii="楷体" w:hAnsi="楷体" w:eastAsia="楷体" w:cs="楷体"/>
          <w:b w:val="0"/>
          <w:bCs/>
          <w:snapToGrid/>
          <w:color w:val="auto"/>
          <w:spacing w:val="0"/>
          <w:kern w:val="2"/>
          <w:position w:val="0"/>
          <w:sz w:val="32"/>
          <w:szCs w:val="32"/>
          <w:lang w:val="en-US" w:eastAsia="zh-CN" w:bidi="ar"/>
        </w:rPr>
        <w:t>（二）审查清理情况</w:t>
      </w:r>
      <w:bookmarkEnd w:id="4"/>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临泽县在开展审查工作过程中，进行了县域范围内的自查并形成了自查报告。对于涉及市场主体经济活动的存量措施，临泽县已进行内部审查和清理，形成了《临泽县2022年公平竞争审查总结》、《2022年度公平竞争审查工作情况统计表》</w:t>
      </w:r>
      <w:bookmarkStart w:id="5" w:name="bookmark7"/>
      <w:bookmarkEnd w:id="5"/>
      <w:bookmarkStart w:id="6" w:name="bookmark6"/>
      <w:bookmarkEnd w:id="6"/>
      <w:r>
        <w:rPr>
          <w:rFonts w:hint="eastAsia" w:ascii="仿宋_GB2312" w:hAnsi="仿宋_GB2312" w:eastAsia="仿宋_GB2312" w:cs="仿宋_GB2312"/>
          <w:b w:val="0"/>
          <w:bCs/>
          <w:snapToGrid/>
          <w:color w:val="auto"/>
          <w:spacing w:val="0"/>
          <w:kern w:val="2"/>
          <w:position w:val="0"/>
          <w:sz w:val="32"/>
          <w:szCs w:val="32"/>
          <w:lang w:val="en-US" w:eastAsia="zh-CN" w:bidi="ar"/>
        </w:rPr>
        <w:t>和《政策措施抽查情况汇总表》，对全县公平竞争审查工作进</w:t>
      </w:r>
      <w:bookmarkStart w:id="7" w:name="bookmark2"/>
      <w:bookmarkEnd w:id="7"/>
      <w:r>
        <w:rPr>
          <w:rFonts w:hint="eastAsia" w:ascii="仿宋_GB2312" w:hAnsi="仿宋_GB2312" w:eastAsia="仿宋_GB2312" w:cs="仿宋_GB2312"/>
          <w:b w:val="0"/>
          <w:bCs/>
          <w:snapToGrid/>
          <w:color w:val="auto"/>
          <w:spacing w:val="0"/>
          <w:kern w:val="2"/>
          <w:position w:val="0"/>
          <w:sz w:val="32"/>
          <w:szCs w:val="32"/>
          <w:lang w:val="en-US" w:eastAsia="zh-CN" w:bidi="ar"/>
        </w:rPr>
        <w:t>行了总结。</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 w:hAnsi="楷体" w:eastAsia="楷体" w:cs="楷体"/>
          <w:b w:val="0"/>
          <w:bCs/>
          <w:snapToGrid/>
          <w:color w:val="auto"/>
          <w:spacing w:val="0"/>
          <w:kern w:val="2"/>
          <w:position w:val="0"/>
          <w:sz w:val="32"/>
          <w:szCs w:val="32"/>
          <w:lang w:val="en-US" w:eastAsia="zh-CN" w:bidi="ar"/>
        </w:rPr>
      </w:pPr>
      <w:bookmarkStart w:id="8" w:name="_Toc571"/>
      <w:r>
        <w:rPr>
          <w:rFonts w:hint="eastAsia" w:ascii="楷体" w:hAnsi="楷体" w:eastAsia="楷体" w:cs="楷体"/>
          <w:b w:val="0"/>
          <w:bCs/>
          <w:snapToGrid/>
          <w:color w:val="auto"/>
          <w:spacing w:val="0"/>
          <w:kern w:val="2"/>
          <w:position w:val="0"/>
          <w:sz w:val="32"/>
          <w:szCs w:val="32"/>
          <w:lang w:val="en-US" w:eastAsia="zh-CN" w:bidi="ar"/>
        </w:rPr>
        <w:t>（三）工作部署落实情况</w:t>
      </w:r>
      <w:bookmarkEnd w:id="8"/>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为建立健全公平竞争审查工作机制，推动临泽县公平竞争审查工作的贯彻落实，临泽县提供了张掖市公平竞争审查制度实施情况，结合工作实际制定了《临泽县公平竞争审查工作政策措施抽查制度》、《临泽县公平竞争审查工作政策措施会审制度》、</w:t>
      </w:r>
      <w:bookmarkStart w:id="35" w:name="_GoBack"/>
      <w:bookmarkEnd w:id="35"/>
      <w:r>
        <w:rPr>
          <w:rFonts w:hint="eastAsia" w:ascii="仿宋_GB2312" w:hAnsi="仿宋_GB2312" w:eastAsia="仿宋_GB2312" w:cs="仿宋_GB2312"/>
          <w:b w:val="0"/>
          <w:bCs/>
          <w:snapToGrid/>
          <w:color w:val="auto"/>
          <w:spacing w:val="0"/>
          <w:kern w:val="2"/>
          <w:position w:val="0"/>
          <w:sz w:val="32"/>
          <w:szCs w:val="32"/>
          <w:lang w:val="en-US" w:eastAsia="zh-CN" w:bidi="ar"/>
        </w:rPr>
        <w:t>《临泽县公平竞争审查投诉举报处理回应制度》三项制度。为全面落实公平竞争审查制度，临泽县通过公布投诉回应受理渠道和举报电话，在全县范围内组织开展专题宣传周活动，在《中国质量新闻网》对社会公众进行公平竞争审查内容的宣传与普及，组织人员集中学习反垄断法等法律法规，进行公平竞争审查内容的学习与培训。</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目前，临泽县的公平竞争审查制度、审查流程和审查人员配置均已完善。</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snapToGrid/>
          <w:color w:val="auto"/>
          <w:spacing w:val="0"/>
          <w:kern w:val="2"/>
          <w:position w:val="0"/>
          <w:sz w:val="32"/>
          <w:szCs w:val="32"/>
          <w:lang w:val="en-US" w:eastAsia="zh-CN" w:bidi="ar"/>
        </w:rPr>
      </w:pPr>
      <w:bookmarkStart w:id="9" w:name="_Toc14017"/>
      <w:bookmarkStart w:id="10" w:name="_Toc26288"/>
      <w:r>
        <w:rPr>
          <w:rFonts w:hint="eastAsia" w:ascii="黑体" w:hAnsi="黑体" w:eastAsia="黑体" w:cs="黑体"/>
          <w:b w:val="0"/>
          <w:bCs/>
          <w:snapToGrid/>
          <w:color w:val="auto"/>
          <w:spacing w:val="0"/>
          <w:kern w:val="2"/>
          <w:position w:val="0"/>
          <w:sz w:val="32"/>
          <w:szCs w:val="32"/>
          <w:lang w:val="en-US" w:eastAsia="zh-CN" w:bidi="ar"/>
        </w:rPr>
        <w:t>二、评估发现的问题</w:t>
      </w:r>
      <w:bookmarkEnd w:id="9"/>
      <w:bookmarkEnd w:id="10"/>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公平竞争审查工作涉及法学、经济学和其他专业学科的交叉，对工作人员的素质和能力要求较高，再加上经济活动的复杂性以及新经济、新业态的快速发展，要求在行政资源和专业人才方面给予切实保障。目前张掖市开展公平竞争审查工作机制虽已建立，但由于该项工作处于起步阶段，各成员单位还处在学习探索阶段。公平竞争工作的内部自我审查对各单位的法制工作者的业务素质、学习能力、法律素养提出了更高的要求，加上法制队伍人手相对短缺,导致临泽县公平竞争审查工作仍存在一定程度不足，部分政策措施违反公平竞争审查标准。具体如下：</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楷体_GB2312" w:hAnsi="楷体_GB2312" w:eastAsia="楷体_GB2312" w:cs="楷体_GB2312"/>
          <w:b w:val="0"/>
          <w:bCs/>
          <w:snapToGrid/>
          <w:color w:val="auto"/>
          <w:spacing w:val="0"/>
          <w:kern w:val="2"/>
          <w:position w:val="0"/>
          <w:sz w:val="32"/>
          <w:szCs w:val="32"/>
          <w:lang w:val="en-US" w:eastAsia="zh-CN" w:bidi="ar"/>
        </w:rPr>
      </w:pPr>
      <w:r>
        <w:rPr>
          <w:rFonts w:hint="eastAsia" w:ascii="楷体_GB2312" w:hAnsi="楷体_GB2312" w:eastAsia="楷体_GB2312" w:cs="楷体_GB2312"/>
          <w:b w:val="0"/>
          <w:bCs/>
          <w:snapToGrid/>
          <w:color w:val="auto"/>
          <w:spacing w:val="0"/>
          <w:kern w:val="2"/>
          <w:position w:val="0"/>
          <w:sz w:val="32"/>
          <w:szCs w:val="32"/>
          <w:lang w:val="en-US" w:eastAsia="zh-CN" w:bidi="ar"/>
        </w:rPr>
        <w:t>（一）《临泽县农村集体资金资产资源管理办法》（临政[2021]21号）</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a.问题内容条款</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86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313" w:hRule="atLeast"/>
        </w:trPr>
        <w:tc>
          <w:tcPr>
            <w:tcW w:w="5000" w:type="pct"/>
            <w:vAlign w:val="top"/>
          </w:tcPr>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rFonts w:hint="eastAsia" w:ascii="仿宋_GB2312" w:hAnsi="仿宋_GB2312" w:eastAsia="仿宋_GB2312" w:cs="仿宋_GB2312"/>
                <w:snapToGrid/>
                <w:color w:val="auto"/>
                <w:spacing w:val="0"/>
                <w:w w:val="100"/>
                <w:position w:val="0"/>
                <w:sz w:val="28"/>
                <w:szCs w:val="28"/>
              </w:rPr>
            </w:pP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rFonts w:hint="eastAsia" w:ascii="仿宋_GB2312" w:hAnsi="仿宋_GB2312" w:eastAsia="仿宋_GB2312" w:cs="仿宋_GB2312"/>
                <w:snapToGrid/>
                <w:color w:val="auto"/>
                <w:spacing w:val="0"/>
                <w:w w:val="100"/>
                <w:position w:val="0"/>
                <w:sz w:val="28"/>
                <w:szCs w:val="28"/>
              </w:rPr>
            </w:pPr>
            <w:r>
              <w:rPr>
                <w:rFonts w:hint="eastAsia" w:ascii="仿宋_GB2312" w:hAnsi="仿宋_GB2312" w:eastAsia="仿宋_GB2312" w:cs="仿宋_GB2312"/>
                <w:snapToGrid/>
                <w:color w:val="auto"/>
                <w:spacing w:val="0"/>
                <w:w w:val="100"/>
                <w:position w:val="0"/>
                <w:sz w:val="28"/>
                <w:szCs w:val="28"/>
              </w:rPr>
              <w:t>镇“三资”代理服务机构，应以村、股份经济合作社为单位，</w:t>
            </w:r>
            <w:r>
              <w:rPr>
                <w:rFonts w:hint="eastAsia" w:ascii="仿宋_GB2312" w:hAnsi="仿宋_GB2312" w:eastAsia="仿宋_GB2312" w:cs="仿宋_GB2312"/>
                <w:snapToGrid/>
                <w:color w:val="auto"/>
                <w:spacing w:val="0"/>
                <w:w w:val="100"/>
                <w:position w:val="0"/>
                <w:sz w:val="28"/>
                <w:szCs w:val="28"/>
                <w:u w:val="single" w:color="auto"/>
              </w:rPr>
              <w:t>在农商银行分别开设一个银行基本存款账户</w:t>
            </w:r>
            <w:r>
              <w:rPr>
                <w:rFonts w:hint="eastAsia" w:ascii="仿宋_GB2312" w:hAnsi="仿宋_GB2312" w:eastAsia="仿宋_GB2312" w:cs="仿宋_GB2312"/>
                <w:snapToGrid/>
                <w:color w:val="auto"/>
                <w:spacing w:val="0"/>
                <w:w w:val="100"/>
                <w:position w:val="0"/>
                <w:sz w:val="28"/>
                <w:szCs w:val="28"/>
              </w:rPr>
              <w:t>（因特殊需要，可按规定开设专用结算账户），用于专项代管各村集体资金。</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rFonts w:hint="eastAsia" w:ascii="仿宋_GB2312" w:hAnsi="仿宋_GB2312" w:eastAsia="仿宋_GB2312" w:cs="仿宋_GB2312"/>
                <w:snapToGrid/>
                <w:color w:val="auto"/>
                <w:spacing w:val="0"/>
                <w:w w:val="100"/>
                <w:position w:val="0"/>
                <w:sz w:val="28"/>
                <w:szCs w:val="28"/>
                <w:u w:val="none" w:color="auto"/>
                <w:lang w:eastAsia="zh-CN"/>
              </w:rPr>
            </w:pPr>
            <w:r>
              <w:rPr>
                <w:rFonts w:hint="eastAsia" w:ascii="仿宋_GB2312" w:hAnsi="仿宋_GB2312" w:eastAsia="仿宋_GB2312" w:cs="仿宋_GB2312"/>
                <w:snapToGrid/>
                <w:color w:val="auto"/>
                <w:spacing w:val="0"/>
                <w:w w:val="100"/>
                <w:position w:val="0"/>
                <w:sz w:val="28"/>
                <w:szCs w:val="28"/>
                <w:u w:val="single" w:color="auto"/>
              </w:rPr>
              <w:t>村集体经济组织不得另设其他存款账户</w:t>
            </w:r>
            <w:r>
              <w:rPr>
                <w:rFonts w:hint="eastAsia" w:ascii="仿宋_GB2312" w:hAnsi="仿宋_GB2312" w:eastAsia="仿宋_GB2312" w:cs="仿宋_GB2312"/>
                <w:snapToGrid/>
                <w:color w:val="auto"/>
                <w:spacing w:val="0"/>
                <w:w w:val="100"/>
                <w:position w:val="0"/>
                <w:sz w:val="28"/>
                <w:szCs w:val="28"/>
                <w:u w:val="none" w:color="auto"/>
                <w:lang w:eastAsia="zh-CN"/>
              </w:rPr>
              <w:t>。</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rFonts w:hint="eastAsia" w:ascii="仿宋_GB2312" w:hAnsi="仿宋_GB2312" w:eastAsia="仿宋_GB2312" w:cs="仿宋_GB2312"/>
                <w:snapToGrid/>
                <w:color w:val="auto"/>
                <w:spacing w:val="0"/>
                <w:w w:val="100"/>
                <w:position w:val="0"/>
                <w:sz w:val="28"/>
                <w:szCs w:val="28"/>
                <w:u w:val="none" w:color="auto"/>
                <w:lang w:eastAsia="zh-CN"/>
              </w:rPr>
            </w:pPr>
          </w:p>
        </w:tc>
      </w:tr>
    </w:tbl>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b.剖析论证</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文件内容违反《公平竞争审查制度实施细则》“第十三条市场准入和退出标准（三）不得限定经营、购买、使用特定经营者提供的商品和服务，包括但不限于：1.以明确要求、暗示、拒绝或者拖延行政审批、重复检查、不予接入平台或者网络、违法给予奖励补贴等方式，限定或者变相限定经营、购买、使用特定经营者提供的商品和服务”的规定。</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楷体_GB2312" w:hAnsi="楷体_GB2312" w:eastAsia="楷体_GB2312" w:cs="楷体_GB2312"/>
          <w:b w:val="0"/>
          <w:bCs/>
          <w:snapToGrid/>
          <w:color w:val="auto"/>
          <w:spacing w:val="0"/>
          <w:kern w:val="2"/>
          <w:position w:val="0"/>
          <w:sz w:val="32"/>
          <w:szCs w:val="32"/>
          <w:lang w:val="en-US" w:eastAsia="zh-CN" w:bidi="ar"/>
        </w:rPr>
      </w:pPr>
      <w:r>
        <w:rPr>
          <w:rFonts w:hint="eastAsia" w:ascii="楷体_GB2312" w:hAnsi="楷体_GB2312" w:eastAsia="楷体_GB2312" w:cs="楷体_GB2312"/>
          <w:b w:val="0"/>
          <w:bCs/>
          <w:snapToGrid/>
          <w:color w:val="auto"/>
          <w:spacing w:val="0"/>
          <w:kern w:val="2"/>
          <w:position w:val="0"/>
          <w:sz w:val="32"/>
          <w:szCs w:val="32"/>
          <w:lang w:val="en-US" w:eastAsia="zh-CN" w:bidi="ar"/>
        </w:rPr>
        <w:t>（二）《临泽县县级应急成品粮储备管理办法》（临政发[2021]25号）</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a.问题内容条款</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86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015" w:hRule="atLeast"/>
        </w:trPr>
        <w:tc>
          <w:tcPr>
            <w:tcW w:w="5000" w:type="pct"/>
            <w:vAlign w:val="top"/>
          </w:tcPr>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rFonts w:hint="eastAsia" w:eastAsia="仿宋"/>
                <w:snapToGrid/>
                <w:color w:val="auto"/>
                <w:spacing w:val="0"/>
                <w:w w:val="100"/>
                <w:position w:val="0"/>
                <w:lang w:eastAsia="zh-CN"/>
              </w:rPr>
            </w:pPr>
            <w:r>
              <w:rPr>
                <w:snapToGrid/>
                <w:color w:val="auto"/>
                <w:spacing w:val="0"/>
                <w:w w:val="100"/>
                <w:position w:val="0"/>
                <w:sz w:val="28"/>
                <w:szCs w:val="28"/>
              </w:rPr>
              <w:t>第十一条应急成品粮承储企业应当符合下列条件:（一）</w:t>
            </w:r>
            <w:r>
              <w:rPr>
                <w:snapToGrid/>
                <w:color w:val="auto"/>
                <w:spacing w:val="0"/>
                <w:w w:val="100"/>
                <w:position w:val="0"/>
                <w:sz w:val="28"/>
                <w:szCs w:val="28"/>
                <w:u w:val="single" w:color="auto"/>
              </w:rPr>
              <w:t>在临泽县境内，具有独立法人资格</w:t>
            </w:r>
            <w:r>
              <w:rPr>
                <w:snapToGrid/>
                <w:color w:val="auto"/>
                <w:spacing w:val="0"/>
                <w:w w:val="100"/>
                <w:position w:val="0"/>
                <w:sz w:val="28"/>
                <w:szCs w:val="28"/>
              </w:rPr>
              <w:t>，依法取得食品经营许可等相关资质；第十二条符合上述条件，且有意愿承担应急成品粮承储的企业，可直接向县发改部门申报，经审核、公示无异议的企业，</w:t>
            </w:r>
            <w:r>
              <w:rPr>
                <w:snapToGrid/>
                <w:color w:val="auto"/>
                <w:spacing w:val="0"/>
                <w:w w:val="100"/>
                <w:position w:val="0"/>
                <w:sz w:val="28"/>
                <w:szCs w:val="28"/>
                <w:u w:val="single" w:color="auto"/>
              </w:rPr>
              <w:t>列入县级应急成品粮承储企业名录库</w:t>
            </w:r>
            <w:r>
              <w:rPr>
                <w:rFonts w:hint="eastAsia"/>
                <w:snapToGrid/>
                <w:color w:val="auto"/>
                <w:spacing w:val="0"/>
                <w:w w:val="100"/>
                <w:position w:val="0"/>
                <w:sz w:val="28"/>
                <w:szCs w:val="28"/>
                <w:u w:val="none" w:color="auto"/>
                <w:lang w:eastAsia="zh-CN"/>
              </w:rPr>
              <w:t>。</w:t>
            </w:r>
          </w:p>
        </w:tc>
      </w:tr>
    </w:tbl>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b.剖析论证</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u w:val="single"/>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文件内容第十一条语义不详：如何理解</w:t>
      </w:r>
      <w:r>
        <w:rPr>
          <w:rFonts w:hint="eastAsia" w:ascii="仿宋_GB2312" w:hAnsi="仿宋_GB2312" w:eastAsia="仿宋_GB2312" w:cs="仿宋_GB2312"/>
          <w:b w:val="0"/>
          <w:bCs/>
          <w:snapToGrid/>
          <w:color w:val="auto"/>
          <w:spacing w:val="0"/>
          <w:kern w:val="2"/>
          <w:position w:val="0"/>
          <w:sz w:val="32"/>
          <w:szCs w:val="32"/>
          <w:u w:val="single"/>
          <w:lang w:val="en-US" w:eastAsia="zh-CN" w:bidi="ar"/>
        </w:rPr>
        <w:t>临泽县境内，具有独立法人资格？</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涉嫌违反《公平竞争审查制度实施细则》“第十三条市场准入和退出标准（一）不得设置不合理或歧视性的准入和退出条件，包括但不限于：2.没有法律、行政法规或者国务院规定依据，对不同所有制、地区、组织形式的经营者实施不合理的差别化待遇，设置不平等的市场准入和退出条件”的规定。</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文件内容第十二条违反《公平竞争审查制度实施细则》“第十三条市场准入和退出标准（一）不得设置不合理或歧视性的准入和退出条件，包括但不限于：3.没有法律、行政法规或者国务院规定依据，以备案、登记、注册、目录、年检…，要求设立分支机构以及其他任何形式，设定或者变相设定市场准入障碍”的规定。</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楷体_GB2312" w:hAnsi="楷体_GB2312" w:eastAsia="楷体_GB2312" w:cs="楷体_GB2312"/>
          <w:b w:val="0"/>
          <w:bCs/>
          <w:snapToGrid/>
          <w:color w:val="auto"/>
          <w:spacing w:val="0"/>
          <w:kern w:val="2"/>
          <w:position w:val="0"/>
          <w:sz w:val="32"/>
          <w:szCs w:val="32"/>
          <w:lang w:val="en-US" w:eastAsia="zh-CN" w:bidi="ar"/>
        </w:rPr>
      </w:pPr>
      <w:r>
        <w:rPr>
          <w:rFonts w:hint="eastAsia" w:ascii="楷体_GB2312" w:hAnsi="楷体_GB2312" w:eastAsia="楷体_GB2312" w:cs="楷体_GB2312"/>
          <w:b w:val="0"/>
          <w:bCs/>
          <w:snapToGrid/>
          <w:color w:val="auto"/>
          <w:spacing w:val="0"/>
          <w:kern w:val="2"/>
          <w:position w:val="0"/>
          <w:sz w:val="32"/>
          <w:szCs w:val="32"/>
          <w:lang w:val="en-US" w:eastAsia="zh-CN" w:bidi="ar"/>
        </w:rPr>
        <w:t>（三）《临泽县稳住经济一揽子政策措施》（临政发[2021]25号）</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a.问题内容条款</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86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03" w:hRule="atLeast"/>
        </w:trPr>
        <w:tc>
          <w:tcPr>
            <w:tcW w:w="5000" w:type="pct"/>
            <w:vAlign w:val="top"/>
          </w:tcPr>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rPr>
            </w:pPr>
            <w:r>
              <w:rPr>
                <w:snapToGrid/>
                <w:color w:val="auto"/>
                <w:spacing w:val="0"/>
                <w:w w:val="100"/>
                <w:position w:val="0"/>
                <w:sz w:val="28"/>
                <w:szCs w:val="28"/>
              </w:rPr>
              <w:t>一、促进工业商贸经济发展</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rPr>
            </w:pPr>
            <w:r>
              <w:rPr>
                <w:snapToGrid/>
                <w:color w:val="auto"/>
                <w:spacing w:val="0"/>
                <w:w w:val="100"/>
                <w:position w:val="0"/>
                <w:sz w:val="28"/>
                <w:szCs w:val="28"/>
              </w:rPr>
              <w:t>1．对季度末</w:t>
            </w:r>
            <w:r>
              <w:rPr>
                <w:snapToGrid/>
                <w:color w:val="auto"/>
                <w:spacing w:val="0"/>
                <w:w w:val="100"/>
                <w:position w:val="0"/>
                <w:sz w:val="28"/>
                <w:szCs w:val="28"/>
                <w:u w:val="single" w:color="auto"/>
              </w:rPr>
              <w:t>规上工业企业</w:t>
            </w:r>
            <w:r>
              <w:rPr>
                <w:snapToGrid/>
                <w:color w:val="auto"/>
                <w:spacing w:val="0"/>
                <w:w w:val="100"/>
                <w:position w:val="0"/>
                <w:sz w:val="28"/>
                <w:szCs w:val="28"/>
              </w:rPr>
              <w:t>（种子加工企业除外）…8％</w:t>
            </w:r>
            <w:r>
              <w:rPr>
                <w:snapToGrid/>
                <w:color w:val="auto"/>
                <w:spacing w:val="0"/>
                <w:w w:val="100"/>
                <w:position w:val="0"/>
                <w:sz w:val="28"/>
                <w:szCs w:val="28"/>
                <w:u w:val="single" w:color="auto"/>
              </w:rPr>
              <w:t>予以奖励；</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rPr>
            </w:pPr>
            <w:r>
              <w:rPr>
                <w:snapToGrid/>
                <w:color w:val="auto"/>
                <w:spacing w:val="0"/>
                <w:w w:val="100"/>
                <w:position w:val="0"/>
                <w:sz w:val="28"/>
                <w:szCs w:val="28"/>
              </w:rPr>
              <w:t>3．对因疫情影响，产值同比增长但销售收入下降的</w:t>
            </w:r>
            <w:r>
              <w:rPr>
                <w:snapToGrid/>
                <w:color w:val="auto"/>
                <w:spacing w:val="0"/>
                <w:w w:val="100"/>
                <w:position w:val="0"/>
                <w:sz w:val="28"/>
                <w:szCs w:val="28"/>
                <w:u w:val="single" w:color="auto"/>
              </w:rPr>
              <w:t>规上工业企业</w:t>
            </w:r>
            <w:r>
              <w:rPr>
                <w:snapToGrid/>
                <w:color w:val="auto"/>
                <w:spacing w:val="0"/>
                <w:w w:val="100"/>
                <w:position w:val="0"/>
                <w:sz w:val="28"/>
                <w:szCs w:val="28"/>
              </w:rPr>
              <w:t>…</w:t>
            </w:r>
            <w:r>
              <w:rPr>
                <w:snapToGrid/>
                <w:color w:val="auto"/>
                <w:spacing w:val="0"/>
                <w:w w:val="100"/>
                <w:position w:val="0"/>
                <w:sz w:val="28"/>
                <w:szCs w:val="28"/>
                <w:u w:val="single" w:color="auto"/>
              </w:rPr>
              <w:t>贷款利率的50％给子贷款贴息扶持；</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rPr>
            </w:pPr>
            <w:r>
              <w:rPr>
                <w:snapToGrid/>
                <w:color w:val="auto"/>
                <w:spacing w:val="0"/>
                <w:w w:val="100"/>
                <w:position w:val="0"/>
                <w:sz w:val="28"/>
                <w:szCs w:val="28"/>
              </w:rPr>
              <w:t>4.对</w:t>
            </w:r>
            <w:r>
              <w:rPr>
                <w:snapToGrid/>
                <w:color w:val="auto"/>
                <w:spacing w:val="0"/>
                <w:w w:val="100"/>
                <w:position w:val="0"/>
                <w:sz w:val="28"/>
                <w:szCs w:val="28"/>
                <w:u w:val="single" w:color="auto"/>
              </w:rPr>
              <w:t>限上零售企业</w:t>
            </w:r>
            <w:r>
              <w:rPr>
                <w:snapToGrid/>
                <w:color w:val="auto"/>
                <w:spacing w:val="0"/>
                <w:w w:val="100"/>
                <w:position w:val="0"/>
                <w:sz w:val="28"/>
                <w:szCs w:val="28"/>
              </w:rPr>
              <w:t>（含大个体）…，对</w:t>
            </w:r>
            <w:r>
              <w:rPr>
                <w:snapToGrid/>
                <w:color w:val="auto"/>
                <w:spacing w:val="0"/>
                <w:w w:val="100"/>
                <w:position w:val="0"/>
                <w:sz w:val="28"/>
                <w:szCs w:val="28"/>
                <w:u w:val="single" w:color="auto"/>
              </w:rPr>
              <w:t>限上餐饮零售企业</w:t>
            </w:r>
            <w:r>
              <w:rPr>
                <w:snapToGrid/>
                <w:color w:val="auto"/>
                <w:spacing w:val="0"/>
                <w:w w:val="100"/>
                <w:position w:val="0"/>
                <w:sz w:val="28"/>
                <w:szCs w:val="28"/>
              </w:rPr>
              <w:t>（含大个头）…，对</w:t>
            </w:r>
            <w:r>
              <w:rPr>
                <w:snapToGrid/>
                <w:color w:val="auto"/>
                <w:spacing w:val="0"/>
                <w:w w:val="100"/>
                <w:position w:val="0"/>
                <w:sz w:val="28"/>
                <w:szCs w:val="28"/>
                <w:u w:val="single" w:color="auto"/>
              </w:rPr>
              <w:t>限下样本单位</w:t>
            </w:r>
            <w:r>
              <w:rPr>
                <w:snapToGrid/>
                <w:color w:val="auto"/>
                <w:spacing w:val="0"/>
                <w:w w:val="100"/>
                <w:position w:val="0"/>
                <w:sz w:val="28"/>
                <w:szCs w:val="28"/>
              </w:rPr>
              <w:t>…进行补助。</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rPr>
            </w:pPr>
            <w:r>
              <w:rPr>
                <w:snapToGrid/>
                <w:color w:val="auto"/>
                <w:spacing w:val="0"/>
                <w:w w:val="100"/>
                <w:position w:val="0"/>
                <w:sz w:val="28"/>
                <w:szCs w:val="28"/>
              </w:rPr>
              <w:t>支持建筑企业做大做强</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rPr>
            </w:pPr>
            <w:r>
              <w:rPr>
                <w:snapToGrid/>
                <w:color w:val="auto"/>
                <w:spacing w:val="0"/>
                <w:w w:val="100"/>
                <w:position w:val="0"/>
                <w:sz w:val="28"/>
                <w:szCs w:val="28"/>
              </w:rPr>
              <w:t>推动科技企业改革创新</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rPr>
            </w:pPr>
            <w:r>
              <w:rPr>
                <w:snapToGrid/>
                <w:color w:val="auto"/>
                <w:spacing w:val="0"/>
                <w:w w:val="100"/>
                <w:position w:val="0"/>
                <w:sz w:val="28"/>
                <w:szCs w:val="28"/>
              </w:rPr>
              <w:t>促进文旅行业复兴等均有类似的表述</w:t>
            </w:r>
          </w:p>
        </w:tc>
      </w:tr>
    </w:tbl>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b.剖析论证</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文件内容违反《公平竞争审查制度实施细则》“第十五条影响生产经营成本标准（一）不得违法给予特定经营者优惠政策、包括但不限于：1.没有法律、行政法规或者国务院规定依据，给予特定经营者财政奖励和补贴”的规定。</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对规上、限上企业进行奖补，相当于对年主营业务收入有一定要求，部分小微企业及初创企业年营收可能达不到当地规上企业的应收标准，限制部分小微企业及初创企业参与申请补贴，将对同一行业同一领域的其他经营者造成不公平的待遇，具有排斥、限制竞争的效果。</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楷体_GB2312" w:hAnsi="楷体_GB2312" w:eastAsia="楷体_GB2312" w:cs="楷体_GB2312"/>
          <w:b w:val="0"/>
          <w:bCs/>
          <w:snapToGrid/>
          <w:color w:val="auto"/>
          <w:spacing w:val="0"/>
          <w:kern w:val="2"/>
          <w:position w:val="0"/>
          <w:sz w:val="32"/>
          <w:szCs w:val="32"/>
          <w:lang w:val="en-US" w:eastAsia="zh-CN" w:bidi="ar"/>
        </w:rPr>
      </w:pPr>
      <w:r>
        <w:rPr>
          <w:rFonts w:hint="eastAsia" w:ascii="楷体_GB2312" w:hAnsi="楷体_GB2312" w:eastAsia="楷体_GB2312" w:cs="楷体_GB2312"/>
          <w:b w:val="0"/>
          <w:bCs/>
          <w:snapToGrid/>
          <w:color w:val="auto"/>
          <w:spacing w:val="0"/>
          <w:kern w:val="2"/>
          <w:position w:val="0"/>
          <w:sz w:val="32"/>
          <w:szCs w:val="32"/>
          <w:lang w:val="en-US" w:eastAsia="zh-CN" w:bidi="ar"/>
        </w:rPr>
        <w:t>（四）《临泽县农村集体聚餐及流动厨师管理办法》（临政发[2022]16号）</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楷体_GB2312" w:hAnsi="楷体_GB2312" w:eastAsia="楷体_GB2312" w:cs="楷体_GB2312"/>
          <w:b w:val="0"/>
          <w:bCs/>
          <w:snapToGrid/>
          <w:color w:val="auto"/>
          <w:spacing w:val="0"/>
          <w:kern w:val="2"/>
          <w:position w:val="0"/>
          <w:sz w:val="32"/>
          <w:szCs w:val="32"/>
          <w:lang w:val="en-US" w:eastAsia="zh-CN" w:bidi="ar"/>
        </w:rPr>
      </w:pP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a.问题内容条款</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86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451" w:hRule="atLeast"/>
        </w:trPr>
        <w:tc>
          <w:tcPr>
            <w:tcW w:w="5000" w:type="pct"/>
            <w:vAlign w:val="top"/>
          </w:tcPr>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rFonts w:hint="eastAsia" w:eastAsia="仿宋"/>
                <w:snapToGrid/>
                <w:color w:val="auto"/>
                <w:spacing w:val="0"/>
                <w:w w:val="100"/>
                <w:position w:val="0"/>
                <w:sz w:val="28"/>
                <w:szCs w:val="28"/>
                <w:lang w:eastAsia="zh-CN"/>
              </w:rPr>
            </w:pPr>
            <w:r>
              <w:rPr>
                <w:snapToGrid/>
                <w:color w:val="auto"/>
                <w:spacing w:val="0"/>
                <w:w w:val="100"/>
                <w:position w:val="0"/>
                <w:sz w:val="28"/>
                <w:szCs w:val="28"/>
              </w:rPr>
              <w:t>第八条</w:t>
            </w:r>
            <w:r>
              <w:rPr>
                <w:snapToGrid/>
                <w:color w:val="auto"/>
                <w:spacing w:val="0"/>
                <w:w w:val="100"/>
                <w:position w:val="0"/>
                <w:sz w:val="28"/>
                <w:szCs w:val="28"/>
                <w:u w:val="single" w:color="auto"/>
              </w:rPr>
              <w:t>农村集体聚餐实行双报告制度。</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rPr>
            </w:pPr>
            <w:r>
              <w:rPr>
                <w:snapToGrid/>
                <w:color w:val="auto"/>
                <w:spacing w:val="0"/>
                <w:w w:val="100"/>
                <w:position w:val="0"/>
                <w:sz w:val="28"/>
                <w:szCs w:val="28"/>
              </w:rPr>
              <w:t>第二十四条</w:t>
            </w:r>
            <w:r>
              <w:rPr>
                <w:snapToGrid/>
                <w:color w:val="auto"/>
                <w:spacing w:val="0"/>
                <w:w w:val="100"/>
                <w:position w:val="0"/>
                <w:sz w:val="28"/>
                <w:szCs w:val="28"/>
                <w:u w:val="single" w:color="auto"/>
              </w:rPr>
              <w:t>对农村集体聚餐流动厨师或加工服务者实行</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rFonts w:hint="eastAsia" w:eastAsia="仿宋"/>
                <w:snapToGrid/>
                <w:color w:val="auto"/>
                <w:spacing w:val="0"/>
                <w:w w:val="100"/>
                <w:position w:val="0"/>
                <w:lang w:eastAsia="zh-CN"/>
              </w:rPr>
            </w:pPr>
            <w:r>
              <w:rPr>
                <w:snapToGrid/>
                <w:color w:val="auto"/>
                <w:spacing w:val="0"/>
                <w:w w:val="100"/>
                <w:position w:val="0"/>
                <w:sz w:val="28"/>
                <w:szCs w:val="28"/>
                <w:u w:val="single" w:color="auto"/>
              </w:rPr>
              <w:t>备案管理制度。</w:t>
            </w:r>
          </w:p>
        </w:tc>
      </w:tr>
    </w:tbl>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b.剖析论证</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文件内容违反《公平竞争审查制度实施细则》“第十三条市场准入与退出标准（一）不得限置不合理或歧视性的准入和退出条件，包括但不限于：3.没有法律、行政法规或者国务院规定依据，以备案、登记、注册、目录、年检、年报、监制、认定、认证、认可、检验、监测、审定、指定、配号、复检、复审、换证、要求设立分支机构以及其他任何形式，设定或者变相设定市场准入障碍”的规定。</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楷体_GB2312" w:hAnsi="楷体_GB2312" w:eastAsia="楷体_GB2312" w:cs="楷体_GB2312"/>
          <w:b w:val="0"/>
          <w:bCs/>
          <w:snapToGrid/>
          <w:color w:val="auto"/>
          <w:spacing w:val="0"/>
          <w:kern w:val="2"/>
          <w:position w:val="0"/>
          <w:sz w:val="32"/>
          <w:szCs w:val="32"/>
          <w:lang w:val="en-US" w:eastAsia="zh-CN" w:bidi="ar"/>
        </w:rPr>
      </w:pPr>
      <w:r>
        <w:rPr>
          <w:rFonts w:hint="eastAsia" w:ascii="楷体_GB2312" w:hAnsi="楷体_GB2312" w:eastAsia="楷体_GB2312" w:cs="楷体_GB2312"/>
          <w:b w:val="0"/>
          <w:bCs/>
          <w:snapToGrid/>
          <w:color w:val="auto"/>
          <w:spacing w:val="0"/>
          <w:kern w:val="2"/>
          <w:position w:val="0"/>
          <w:sz w:val="32"/>
          <w:szCs w:val="32"/>
          <w:lang w:val="en-US" w:eastAsia="zh-CN" w:bidi="ar"/>
        </w:rPr>
        <w:t>（五）《临泽县地下水资源管理办法》（临政发[2022]25号）</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a.问题内容条款</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86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483" w:hRule="atLeast"/>
        </w:trPr>
        <w:tc>
          <w:tcPr>
            <w:tcW w:w="5000" w:type="pct"/>
            <w:vAlign w:val="top"/>
          </w:tcPr>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rPr>
            </w:pPr>
            <w:r>
              <w:rPr>
                <w:snapToGrid/>
                <w:color w:val="auto"/>
                <w:spacing w:val="0"/>
                <w:w w:val="100"/>
                <w:position w:val="0"/>
                <w:sz w:val="28"/>
                <w:szCs w:val="28"/>
              </w:rPr>
              <w:t>第十八条</w:t>
            </w:r>
            <w:r>
              <w:rPr>
                <w:snapToGrid/>
                <w:color w:val="auto"/>
                <w:spacing w:val="0"/>
                <w:w w:val="100"/>
                <w:position w:val="0"/>
                <w:sz w:val="28"/>
                <w:szCs w:val="28"/>
                <w:u w:val="single" w:color="auto"/>
              </w:rPr>
              <w:t>实行机井施工单位登记制度。</w:t>
            </w:r>
            <w:r>
              <w:rPr>
                <w:snapToGrid/>
                <w:color w:val="auto"/>
                <w:spacing w:val="0"/>
                <w:w w:val="100"/>
                <w:position w:val="0"/>
                <w:sz w:val="28"/>
                <w:szCs w:val="28"/>
              </w:rPr>
              <w:t>凡在我县境内承建机井的施工单位，应当具备相应的资质，施工前应向县行政水主管部门登记。</w:t>
            </w:r>
          </w:p>
        </w:tc>
      </w:tr>
    </w:tbl>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b.剖析论证</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文件内容违反《公平竞争审查制度实施细则》“第十三条市场准入与退出标准（一）不得限定不合理或歧视性的准入和退出条件，包括但不限于：3.没有法律、行政法规或者国务院规定依据，以备案、登记、注册、目录、年检、年报、监制、认定、认证、认可、检验、监测、审定、指定、配号、复检、复审、换证、要求设立分支机构以及其他任何形式，设定或者变相设定市场准入障碍”的规定。</w:t>
      </w:r>
    </w:p>
    <w:p>
      <w:pPr>
        <w:keepNext w:val="0"/>
        <w:keepLines w:val="0"/>
        <w:pageBreakBefore w:val="0"/>
        <w:widowControl/>
        <w:kinsoku/>
        <w:wordWrap/>
        <w:overflowPunct/>
        <w:topLinePunct/>
        <w:autoSpaceDE w:val="0"/>
        <w:autoSpaceDN/>
        <w:bidi w:val="0"/>
        <w:spacing w:line="540" w:lineRule="exact"/>
        <w:ind w:left="0" w:right="0" w:firstLine="640" w:firstLineChars="200"/>
        <w:jc w:val="both"/>
        <w:rPr>
          <w:rFonts w:hint="eastAsia" w:ascii="楷体_GB2312" w:hAnsi="楷体_GB2312" w:eastAsia="楷体_GB2312" w:cs="楷体_GB2312"/>
          <w:b w:val="0"/>
          <w:bCs/>
          <w:snapToGrid/>
          <w:color w:val="auto"/>
          <w:spacing w:val="0"/>
          <w:kern w:val="2"/>
          <w:position w:val="0"/>
          <w:sz w:val="32"/>
          <w:szCs w:val="32"/>
          <w:lang w:val="en-US" w:eastAsia="zh-CN" w:bidi="ar"/>
        </w:rPr>
      </w:pPr>
      <w:r>
        <w:rPr>
          <w:rFonts w:hint="eastAsia" w:ascii="楷体_GB2312" w:hAnsi="楷体_GB2312" w:eastAsia="楷体_GB2312" w:cs="楷体_GB2312"/>
          <w:b w:val="0"/>
          <w:bCs/>
          <w:snapToGrid/>
          <w:color w:val="auto"/>
          <w:spacing w:val="0"/>
          <w:kern w:val="2"/>
          <w:position w:val="0"/>
          <w:sz w:val="32"/>
          <w:szCs w:val="32"/>
          <w:lang w:val="en-US" w:eastAsia="zh-CN" w:bidi="ar"/>
        </w:rPr>
        <w:t>（六）临泽县《加强县域商业体系建设促进农村消费的实施方案》（临政办发[2022]6号）</w:t>
      </w:r>
    </w:p>
    <w:p>
      <w:pPr>
        <w:keepNext w:val="0"/>
        <w:keepLines w:val="0"/>
        <w:pageBreakBefore w:val="0"/>
        <w:widowControl/>
        <w:kinsoku/>
        <w:wordWrap/>
        <w:overflowPunct/>
        <w:topLinePunct/>
        <w:autoSpaceDE w:val="0"/>
        <w:autoSpaceDN/>
        <w:bidi w:val="0"/>
        <w:spacing w:line="540" w:lineRule="exact"/>
        <w:ind w:left="0" w:right="0" w:firstLine="600" w:firstLineChars="200"/>
        <w:jc w:val="both"/>
        <w:rPr>
          <w:rFonts w:ascii="仿宋" w:hAnsi="仿宋" w:eastAsia="仿宋" w:cs="仿宋"/>
          <w:snapToGrid/>
          <w:color w:val="auto"/>
          <w:spacing w:val="0"/>
          <w:w w:val="100"/>
          <w:position w:val="0"/>
          <w:sz w:val="30"/>
          <w:szCs w:val="30"/>
        </w:rPr>
      </w:pPr>
      <w:r>
        <w:rPr>
          <w:rFonts w:ascii="仿宋" w:hAnsi="仿宋" w:eastAsia="仿宋" w:cs="仿宋"/>
          <w:snapToGrid/>
          <w:color w:val="auto"/>
          <w:spacing w:val="0"/>
          <w:w w:val="100"/>
          <w:position w:val="0"/>
          <w:sz w:val="30"/>
          <w:szCs w:val="30"/>
        </w:rPr>
        <w:t>a.问题内容条款</w:t>
      </w:r>
    </w:p>
    <w:tbl>
      <w:tblPr>
        <w:tblStyle w:val="15"/>
        <w:tblW w:w="5000"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86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701" w:hRule="atLeast"/>
        </w:trPr>
        <w:tc>
          <w:tcPr>
            <w:tcW w:w="5000" w:type="pct"/>
            <w:vAlign w:val="top"/>
          </w:tcPr>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u w:val="single"/>
              </w:rPr>
            </w:pPr>
            <w:r>
              <w:rPr>
                <w:snapToGrid/>
                <w:color w:val="auto"/>
                <w:spacing w:val="0"/>
                <w:w w:val="100"/>
                <w:position w:val="0"/>
                <w:sz w:val="28"/>
                <w:szCs w:val="28"/>
                <w:u w:val="none"/>
              </w:rPr>
              <w:t>（一）加强市场主体培育</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u w:val="none"/>
              </w:rPr>
            </w:pPr>
            <w:r>
              <w:rPr>
                <w:snapToGrid/>
                <w:color w:val="auto"/>
                <w:spacing w:val="0"/>
                <w:w w:val="100"/>
                <w:position w:val="0"/>
                <w:sz w:val="28"/>
                <w:szCs w:val="28"/>
                <w:u w:val="none"/>
              </w:rPr>
              <w:t>15、培育一批商业骨干企业</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sz w:val="28"/>
                <w:szCs w:val="28"/>
                <w:u w:val="none"/>
              </w:rPr>
            </w:pPr>
            <w:r>
              <w:rPr>
                <w:snapToGrid/>
                <w:color w:val="auto"/>
                <w:spacing w:val="0"/>
                <w:w w:val="100"/>
                <w:position w:val="0"/>
                <w:sz w:val="28"/>
                <w:szCs w:val="28"/>
                <w:u w:val="none"/>
              </w:rPr>
              <w:t>依托</w:t>
            </w:r>
            <w:r>
              <w:rPr>
                <w:snapToGrid/>
                <w:color w:val="auto"/>
                <w:spacing w:val="0"/>
                <w:w w:val="100"/>
                <w:position w:val="0"/>
                <w:sz w:val="28"/>
                <w:szCs w:val="28"/>
                <w:u w:val="single"/>
              </w:rPr>
              <w:t>邮政快递</w:t>
            </w:r>
            <w:r>
              <w:rPr>
                <w:snapToGrid/>
                <w:color w:val="auto"/>
                <w:spacing w:val="0"/>
                <w:w w:val="100"/>
                <w:position w:val="0"/>
                <w:sz w:val="28"/>
                <w:szCs w:val="28"/>
                <w:u w:val="none"/>
              </w:rPr>
              <w:t>…，促进县镇村商业网络连锁化。充分发挥</w:t>
            </w:r>
          </w:p>
          <w:p>
            <w:pPr>
              <w:pStyle w:val="16"/>
              <w:keepNext w:val="0"/>
              <w:keepLines w:val="0"/>
              <w:pageBreakBefore w:val="0"/>
              <w:widowControl/>
              <w:kinsoku/>
              <w:wordWrap/>
              <w:overflowPunct/>
              <w:topLinePunct/>
              <w:autoSpaceDE w:val="0"/>
              <w:autoSpaceDN/>
              <w:bidi w:val="0"/>
              <w:spacing w:line="540" w:lineRule="exact"/>
              <w:ind w:left="0" w:right="0" w:firstLine="560" w:firstLineChars="200"/>
              <w:jc w:val="both"/>
              <w:rPr>
                <w:snapToGrid/>
                <w:color w:val="auto"/>
                <w:spacing w:val="0"/>
                <w:w w:val="100"/>
                <w:position w:val="0"/>
              </w:rPr>
            </w:pPr>
            <w:r>
              <w:rPr>
                <w:snapToGrid/>
                <w:color w:val="auto"/>
                <w:spacing w:val="0"/>
                <w:w w:val="100"/>
                <w:position w:val="0"/>
                <w:sz w:val="28"/>
                <w:szCs w:val="28"/>
                <w:u w:val="single"/>
              </w:rPr>
              <w:t>德源农庄、红桥庄园</w:t>
            </w:r>
            <w:r>
              <w:rPr>
                <w:snapToGrid/>
                <w:color w:val="auto"/>
                <w:spacing w:val="0"/>
                <w:w w:val="100"/>
                <w:position w:val="0"/>
                <w:sz w:val="28"/>
                <w:szCs w:val="28"/>
                <w:u w:val="none"/>
              </w:rPr>
              <w:t>等镇级商业综合体示范带动效应…</w:t>
            </w:r>
            <w:r>
              <w:rPr>
                <w:snapToGrid/>
                <w:color w:val="auto"/>
                <w:spacing w:val="0"/>
                <w:w w:val="100"/>
                <w:position w:val="0"/>
              </w:rPr>
              <w:t>。</w:t>
            </w:r>
          </w:p>
        </w:tc>
      </w:tr>
    </w:tbl>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b.剖析论证</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文件内容违反《公平竞争审查制度实施细则》“第十五条影响生产经营成本标准（一）不得违法给予特定经营者优惠政策、包括但不限于：1.没有法律、行政法规或者国务院规定依据，给予特定经营者财政奖励和补贴”的规定。</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从特定经营者角度界定，或者直接规定具体的受惠企业。从优惠类型分析，以“依托”“培育”“充分发挥”“做强”等概括性地表述为主。</w:t>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snapToGrid/>
          <w:color w:val="auto"/>
          <w:spacing w:val="0"/>
          <w:kern w:val="2"/>
          <w:position w:val="0"/>
          <w:sz w:val="32"/>
          <w:szCs w:val="32"/>
          <w:lang w:val="en-US" w:eastAsia="zh-CN" w:bidi="ar"/>
        </w:rPr>
      </w:pPr>
      <w:bookmarkStart w:id="11" w:name="_Toc11523"/>
      <w:bookmarkStart w:id="12" w:name="_Toc4710"/>
      <w:r>
        <w:rPr>
          <w:rFonts w:hint="eastAsia" w:ascii="黑体" w:hAnsi="黑体" w:eastAsia="黑体" w:cs="黑体"/>
          <w:b w:val="0"/>
          <w:bCs/>
          <w:snapToGrid/>
          <w:color w:val="auto"/>
          <w:spacing w:val="0"/>
          <w:kern w:val="2"/>
          <w:position w:val="0"/>
          <w:sz w:val="32"/>
          <w:szCs w:val="32"/>
          <w:lang w:val="en-US" w:eastAsia="zh-CN" w:bidi="ar"/>
        </w:rPr>
        <w:t>三、评估结果</w:t>
      </w:r>
      <w:bookmarkEnd w:id="11"/>
      <w:bookmarkEnd w:id="12"/>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 w:val="0"/>
          <w:bCs/>
          <w:snapToGrid/>
          <w:color w:val="auto"/>
          <w:spacing w:val="0"/>
          <w:kern w:val="2"/>
          <w:position w:val="0"/>
          <w:sz w:val="32"/>
          <w:szCs w:val="32"/>
          <w:lang w:val="en-US" w:eastAsia="zh-CN" w:bidi="ar"/>
        </w:rPr>
        <w:t>根据《甘肃省市场监管局等四部门关于进一步推进落实公平竞争审查工作的通知》（甘市监发〔2020〕291号）及《张掖市公平竞争审查工作部门联席会议办公室关于开展公平竞争审查工作第三方评估的通知》（张公竞〔2022〕10号）文件要求，临泽县</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13" w:name="_Toc9063"/>
      <w:bookmarkStart w:id="14" w:name="_Toc100"/>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13"/>
      <w:bookmarkEnd w:id="14"/>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480" w:firstLineChars="200"/>
        <w:jc w:val="center"/>
        <w:textAlignment w:val="auto"/>
        <w:rPr>
          <w:rFonts w:hint="eastAsia" w:ascii="黑体" w:hAnsi="黑体" w:eastAsia="黑体" w:cs="黑体"/>
          <w:b w:val="0"/>
          <w:bCs/>
          <w:snapToGrid/>
          <w:color w:val="auto"/>
          <w:spacing w:val="0"/>
          <w:kern w:val="2"/>
          <w:position w:val="0"/>
          <w:sz w:val="24"/>
          <w:szCs w:val="24"/>
          <w:lang w:val="en-US" w:eastAsia="zh-CN" w:bidi="ar"/>
        </w:rPr>
      </w:pPr>
      <w:r>
        <w:rPr>
          <w:rFonts w:hint="eastAsia" w:ascii="黑体" w:hAnsi="黑体" w:eastAsia="黑体" w:cs="黑体"/>
          <w:b w:val="0"/>
          <w:bCs/>
          <w:snapToGrid/>
          <w:color w:val="auto"/>
          <w:spacing w:val="0"/>
          <w:kern w:val="2"/>
          <w:position w:val="0"/>
          <w:sz w:val="24"/>
          <w:szCs w:val="24"/>
          <w:lang w:val="en-US" w:eastAsia="zh-CN" w:bidi="ar"/>
        </w:rPr>
        <w:t>表1：公平竞争审查工作部署落实情况评分表</w:t>
      </w:r>
    </w:p>
    <w:tbl>
      <w:tblPr>
        <w:tblStyle w:val="15"/>
        <w:tblW w:w="88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3"/>
        <w:gridCol w:w="7"/>
        <w:gridCol w:w="901"/>
        <w:gridCol w:w="2112"/>
        <w:gridCol w:w="4419"/>
        <w:gridCol w:w="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8820" w:type="dxa"/>
            <w:gridSpan w:val="6"/>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843" w:type="dxa"/>
            <w:tcBorders>
              <w:tl2br w:val="nil"/>
              <w:tr2bl w:val="nil"/>
            </w:tcBorders>
            <w:textDirection w:val="tbRl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一级指标</w:t>
            </w:r>
          </w:p>
        </w:tc>
        <w:tc>
          <w:tcPr>
            <w:tcW w:w="908" w:type="dxa"/>
            <w:gridSpan w:val="2"/>
            <w:tcBorders>
              <w:tl2br w:val="nil"/>
              <w:tr2bl w:val="nil"/>
            </w:tcBorders>
            <w:textDirection w:val="tbRl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二级指标</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指标评价内容</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评分标准</w:t>
            </w:r>
          </w:p>
        </w:tc>
        <w:tc>
          <w:tcPr>
            <w:tcW w:w="538" w:type="dxa"/>
            <w:tcBorders>
              <w:tl2br w:val="nil"/>
              <w:tr2bl w:val="nil"/>
            </w:tcBorders>
            <w:textDirection w:val="tbRl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43" w:type="dxa"/>
            <w:vMerge w:val="restart"/>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工作部署落实情况（45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分）</w:t>
            </w:r>
          </w:p>
        </w:tc>
        <w:tc>
          <w:tcPr>
            <w:tcW w:w="908"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方案</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印发公平竞争审查方案（5分）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根据是否印发建立公平竞争审查制度的实施通知/实施方案等文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件进行判断。</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13"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restart"/>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建立相应审查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机制</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建立公平竞争审查机制（10分）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有报批文件、通知文件、审批流程文件或已建立的公平竞争审查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制度、方案。</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建立投诉举报回应机制（5分）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有相关文件、资料。</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引入第三方审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查机制（5分）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有第三方评估报告、专家意见等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restart"/>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部署</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公平竞争审查人员组成及运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行状况（5分）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有具体的人员组成和分工。</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公平竞争审查机制运行状况（5分）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根据公平竞争审查工作定期开展情况为依据进行判断（如是否形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成自查报告等）。</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5"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restart"/>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宣传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培训</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组织面向社会公众、市场主体的公平竞争审查宣传（5分）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根据面向社会公众、企业主体介绍公平竞争审查制度情况、有组织针对性的宣传（如宣传资料、活动照片、公众号等判定）。</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6"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内部举行公平竞争审查的学习培训（5分）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根据开展公平竞争审查专题培训情况进行判断，有组织针对性的学习和培训（如培训照片、签到表、会议记录等资料）。</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43" w:type="dxa"/>
            <w:vMerge w:val="restart"/>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政策措施审查清理情况（40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分）</w:t>
            </w:r>
          </w:p>
        </w:tc>
        <w:tc>
          <w:tcPr>
            <w:tcW w:w="908" w:type="dxa"/>
            <w:gridSpan w:val="2"/>
            <w:vMerge w:val="restart"/>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增量措施审查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情况</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提供政策措施数量（10分）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各县区提供的增量政策措施数量不能少于15份，市直单位不能少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于5份。</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政策措施审查是否全面（10分）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以被评估单位审查记录为准，未形成书面审查结论出台政策措施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的，视为未进行公平竞争审查。</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存量措施清理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情况</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政策措施审查是否全面（10分）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以被评估单位清理记录为准，未形成书面审查结论的，视为未进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行公平竞争审查。</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16"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restart"/>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情况</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政策措施审查是否全面、规范（5）</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根据是否有公平竞争审查工作归档记录，以及审查表、书面审查结论是否与审查文件数量一致判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断</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43"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8" w:type="dxa"/>
            <w:gridSpan w:val="2"/>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是否形成书面审查报告（5分）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根据公平竞争审查清理工作是否形成本单位书面审查报告或年度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总结报告。</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50" w:type="dxa"/>
            <w:gridSpan w:val="2"/>
            <w:vMerge w:val="restart"/>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bookmarkStart w:id="15" w:name="bookmark9"/>
            <w:bookmarkEnd w:id="15"/>
            <w:bookmarkStart w:id="16" w:name="bookmark8"/>
            <w:bookmarkEnd w:id="16"/>
            <w:r>
              <w:rPr>
                <w:rFonts w:hint="eastAsia" w:ascii="仿宋_GB2312" w:hAnsi="仿宋_GB2312" w:eastAsia="仿宋_GB2312" w:cs="仿宋_GB2312"/>
                <w:b w:val="0"/>
                <w:bCs/>
                <w:snapToGrid/>
                <w:color w:val="auto"/>
                <w:spacing w:val="0"/>
                <w:kern w:val="2"/>
                <w:position w:val="0"/>
                <w:sz w:val="24"/>
                <w:szCs w:val="24"/>
                <w:lang w:val="en-US" w:eastAsia="zh-CN"/>
              </w:rPr>
              <w:t>公平竞争审查工作落实成效（15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分）</w:t>
            </w:r>
          </w:p>
        </w:tc>
        <w:tc>
          <w:tcPr>
            <w:tcW w:w="901"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社会反馈</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社会公众及市场主体对已审查通过的政策措施无负面反馈（5分）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无负面反馈得满分。</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50" w:type="dxa"/>
            <w:gridSpan w:val="2"/>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1" w:type="dxa"/>
            <w:vMerge w:val="restart"/>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情况</w:t>
            </w: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对妨碍公平竞争的政策措施是否进行整改（5分）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对妨碍公平竞争的政策措施已全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部进行整改、废止的得满分。</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trPr>
        <w:tc>
          <w:tcPr>
            <w:tcW w:w="850" w:type="dxa"/>
            <w:gridSpan w:val="2"/>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901" w:type="dxa"/>
            <w:vMerge w:val="continue"/>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11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对妨碍公平竞争的政策措施是否及时整改（5分）</w:t>
            </w:r>
          </w:p>
        </w:tc>
        <w:tc>
          <w:tcPr>
            <w:tcW w:w="4419"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以评估开始日期为基准，若审查工作开始时已经完成整改或无需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整改得满分。</w:t>
            </w:r>
          </w:p>
        </w:tc>
        <w:tc>
          <w:tcPr>
            <w:tcW w:w="538"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1751" w:type="dxa"/>
            <w:gridSpan w:val="3"/>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最终得分</w:t>
            </w:r>
          </w:p>
        </w:tc>
        <w:tc>
          <w:tcPr>
            <w:tcW w:w="7069" w:type="dxa"/>
            <w:gridSpan w:val="3"/>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96</w:t>
            </w:r>
          </w:p>
        </w:tc>
      </w:tr>
    </w:tbl>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 w:val="0"/>
          <w:bCs/>
          <w:snapToGrid/>
          <w:color w:val="auto"/>
          <w:spacing w:val="0"/>
          <w:kern w:val="2"/>
          <w:position w:val="0"/>
          <w:sz w:val="32"/>
          <w:szCs w:val="32"/>
          <w:lang w:val="en-US" w:eastAsia="zh-CN" w:bidi="ar"/>
        </w:rPr>
      </w:pPr>
      <w:bookmarkStart w:id="17" w:name="_Toc20193"/>
      <w:r>
        <w:rPr>
          <w:rFonts w:hint="eastAsia" w:ascii="楷体_GB2312" w:hAnsi="楷体_GB2312" w:eastAsia="楷体_GB2312" w:cs="楷体_GB2312"/>
          <w:b w:val="0"/>
          <w:bCs/>
          <w:snapToGrid/>
          <w:color w:val="auto"/>
          <w:spacing w:val="0"/>
          <w:kern w:val="2"/>
          <w:position w:val="0"/>
          <w:sz w:val="32"/>
          <w:szCs w:val="32"/>
          <w:lang w:val="en-US" w:eastAsia="zh-CN" w:bidi="ar"/>
        </w:rPr>
        <w:t>（二）政策措施抽样评估得分</w:t>
      </w:r>
      <w:bookmarkEnd w:id="17"/>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按照《张掖市公平竞争审查工作第三方评估执行手册》评估指标量化打分，临泽县在政策措施抽样评估方面具体得分如表2所示：</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right="0"/>
        <w:jc w:val="center"/>
        <w:textAlignment w:val="auto"/>
        <w:rPr>
          <w:rFonts w:hint="eastAsia" w:ascii="黑体" w:hAnsi="黑体" w:eastAsia="黑体" w:cs="黑体"/>
          <w:b w:val="0"/>
          <w:bCs/>
          <w:snapToGrid/>
          <w:color w:val="auto"/>
          <w:spacing w:val="0"/>
          <w:kern w:val="2"/>
          <w:position w:val="0"/>
          <w:sz w:val="24"/>
          <w:szCs w:val="24"/>
          <w:lang w:val="en-US" w:eastAsia="zh-CN" w:bidi="ar"/>
        </w:rPr>
      </w:pPr>
      <w:r>
        <w:rPr>
          <w:rFonts w:hint="eastAsia" w:ascii="黑体" w:hAnsi="黑体" w:eastAsia="黑体" w:cs="黑体"/>
          <w:b w:val="0"/>
          <w:bCs/>
          <w:snapToGrid/>
          <w:color w:val="auto"/>
          <w:spacing w:val="0"/>
          <w:kern w:val="2"/>
          <w:position w:val="0"/>
          <w:sz w:val="24"/>
          <w:szCs w:val="24"/>
          <w:lang w:val="en-US" w:eastAsia="zh-CN" w:bidi="ar"/>
        </w:rPr>
        <w:t>表2政策措施评估结果统计表</w:t>
      </w:r>
    </w:p>
    <w:tbl>
      <w:tblPr>
        <w:tblStyle w:val="15"/>
        <w:tblW w:w="87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4"/>
        <w:gridCol w:w="2913"/>
        <w:gridCol w:w="2504"/>
        <w:gridCol w:w="1115"/>
        <w:gridCol w:w="9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8" w:hRule="atLeast"/>
        </w:trPr>
        <w:tc>
          <w:tcPr>
            <w:tcW w:w="12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项目</w:t>
            </w:r>
          </w:p>
        </w:tc>
        <w:tc>
          <w:tcPr>
            <w:tcW w:w="29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需要进行公平竞争审查的政策措施数量（份）</w:t>
            </w:r>
          </w:p>
        </w:tc>
        <w:tc>
          <w:tcPr>
            <w:tcW w:w="250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有违反公平竞争的政策措施数量（份）</w:t>
            </w:r>
          </w:p>
        </w:tc>
        <w:tc>
          <w:tcPr>
            <w:tcW w:w="11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差错率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c>
          <w:tcPr>
            <w:tcW w:w="928" w:type="dxa"/>
            <w:textDirection w:val="tbRl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12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增量措施</w:t>
            </w:r>
          </w:p>
        </w:tc>
        <w:tc>
          <w:tcPr>
            <w:tcW w:w="29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35</w:t>
            </w:r>
          </w:p>
        </w:tc>
        <w:tc>
          <w:tcPr>
            <w:tcW w:w="250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6</w:t>
            </w:r>
          </w:p>
        </w:tc>
        <w:tc>
          <w:tcPr>
            <w:tcW w:w="11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17.14%</w:t>
            </w:r>
          </w:p>
        </w:tc>
        <w:tc>
          <w:tcPr>
            <w:tcW w:w="92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80</w:t>
            </w:r>
          </w:p>
        </w:tc>
      </w:tr>
    </w:tbl>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评分标准及计算方案见表3：</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right="0"/>
        <w:jc w:val="center"/>
        <w:textAlignment w:val="auto"/>
        <w:rPr>
          <w:rFonts w:hint="eastAsia" w:ascii="黑体" w:hAnsi="黑体" w:eastAsia="黑体" w:cs="黑体"/>
          <w:b w:val="0"/>
          <w:bCs/>
          <w:snapToGrid/>
          <w:color w:val="auto"/>
          <w:spacing w:val="0"/>
          <w:kern w:val="2"/>
          <w:position w:val="0"/>
          <w:sz w:val="24"/>
          <w:szCs w:val="24"/>
          <w:lang w:val="en-US" w:eastAsia="zh-CN" w:bidi="ar"/>
        </w:rPr>
      </w:pPr>
      <w:r>
        <w:rPr>
          <w:rFonts w:hint="eastAsia" w:ascii="黑体" w:hAnsi="黑体" w:eastAsia="黑体" w:cs="黑体"/>
          <w:b w:val="0"/>
          <w:bCs/>
          <w:snapToGrid/>
          <w:color w:val="auto"/>
          <w:spacing w:val="0"/>
          <w:kern w:val="2"/>
          <w:position w:val="0"/>
          <w:sz w:val="24"/>
          <w:szCs w:val="24"/>
          <w:lang w:val="en-US" w:eastAsia="zh-CN" w:bidi="ar"/>
        </w:rPr>
        <w:t>表3政策措施评估标准及计算方法</w:t>
      </w:r>
    </w:p>
    <w:tbl>
      <w:tblPr>
        <w:tblStyle w:val="15"/>
        <w:tblW w:w="87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6"/>
        <w:gridCol w:w="794"/>
        <w:gridCol w:w="1509"/>
        <w:gridCol w:w="1468"/>
        <w:gridCol w:w="1595"/>
        <w:gridCol w:w="1080"/>
        <w:gridCol w:w="104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26"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评估内容</w:t>
            </w:r>
          </w:p>
        </w:tc>
        <w:tc>
          <w:tcPr>
            <w:tcW w:w="6446" w:type="dxa"/>
            <w:gridSpan w:val="5"/>
            <w:vAlign w:val="center"/>
          </w:tcPr>
          <w:p>
            <w:pPr>
              <w:pStyle w:val="16"/>
              <w:keepNext w:val="0"/>
              <w:keepLines w:val="0"/>
              <w:pageBreakBefore w:val="0"/>
              <w:widowControl/>
              <w:kinsoku/>
              <w:wordWrap/>
              <w:overflowPunct/>
              <w:topLinePunct/>
              <w:autoSpaceDE w:val="0"/>
              <w:autoSpaceDN/>
              <w:bidi w:val="0"/>
              <w:spacing w:line="540" w:lineRule="exact"/>
              <w:ind w:left="0" w:right="0" w:firstLine="480" w:firstLineChars="20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评估标准</w:t>
            </w:r>
          </w:p>
        </w:tc>
        <w:tc>
          <w:tcPr>
            <w:tcW w:w="1046"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对应权重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7" w:hRule="atLeast"/>
        </w:trPr>
        <w:tc>
          <w:tcPr>
            <w:tcW w:w="1226"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政策措施差错率</w:t>
            </w:r>
          </w:p>
        </w:tc>
        <w:tc>
          <w:tcPr>
            <w:tcW w:w="794"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=0%</w:t>
            </w:r>
          </w:p>
        </w:tc>
        <w:tc>
          <w:tcPr>
            <w:tcW w:w="1509"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（0%，10%）</w:t>
            </w:r>
          </w:p>
        </w:tc>
        <w:tc>
          <w:tcPr>
            <w:tcW w:w="1468"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（10%，20%）</w:t>
            </w:r>
          </w:p>
        </w:tc>
        <w:tc>
          <w:tcPr>
            <w:tcW w:w="1595"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（20%，40%）</w:t>
            </w:r>
          </w:p>
        </w:tc>
        <w:tc>
          <w:tcPr>
            <w:tcW w:w="1080"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&gt;40%</w:t>
            </w:r>
          </w:p>
        </w:tc>
        <w:tc>
          <w:tcPr>
            <w:tcW w:w="1046"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1226"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对应得分</w:t>
            </w:r>
          </w:p>
        </w:tc>
        <w:tc>
          <w:tcPr>
            <w:tcW w:w="794"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100</w:t>
            </w:r>
          </w:p>
        </w:tc>
        <w:tc>
          <w:tcPr>
            <w:tcW w:w="1509"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90</w:t>
            </w:r>
          </w:p>
        </w:tc>
        <w:tc>
          <w:tcPr>
            <w:tcW w:w="1468"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80</w:t>
            </w:r>
          </w:p>
        </w:tc>
        <w:tc>
          <w:tcPr>
            <w:tcW w:w="1595"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70</w:t>
            </w:r>
          </w:p>
        </w:tc>
        <w:tc>
          <w:tcPr>
            <w:tcW w:w="1080"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60</w:t>
            </w:r>
          </w:p>
        </w:tc>
        <w:tc>
          <w:tcPr>
            <w:tcW w:w="1046" w:type="dxa"/>
            <w:vAlign w:val="center"/>
          </w:tcPr>
          <w:p>
            <w:pPr>
              <w:pStyle w:val="16"/>
              <w:keepNext w:val="0"/>
              <w:keepLines w:val="0"/>
              <w:pageBreakBefore w:val="0"/>
              <w:widowControl/>
              <w:kinsoku/>
              <w:wordWrap/>
              <w:overflowPunct/>
              <w:topLinePunct/>
              <w:autoSpaceDE w:val="0"/>
              <w:autoSpaceDN/>
              <w:bidi w:val="0"/>
              <w:spacing w:line="540" w:lineRule="exact"/>
              <w:ind w:left="0" w:right="0" w:firstLine="480" w:firstLineChars="20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w:t>
            </w:r>
          </w:p>
        </w:tc>
      </w:tr>
    </w:tbl>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 w:val="0"/>
          <w:bCs/>
          <w:snapToGrid/>
          <w:color w:val="auto"/>
          <w:spacing w:val="0"/>
          <w:kern w:val="2"/>
          <w:position w:val="0"/>
          <w:sz w:val="32"/>
          <w:szCs w:val="32"/>
          <w:lang w:val="en-US" w:eastAsia="zh-CN" w:bidi="ar"/>
        </w:rPr>
      </w:pPr>
      <w:bookmarkStart w:id="18" w:name="_Toc5757"/>
      <w:r>
        <w:rPr>
          <w:rFonts w:hint="eastAsia" w:ascii="楷体_GB2312" w:hAnsi="楷体_GB2312" w:eastAsia="楷体_GB2312" w:cs="楷体_GB2312"/>
          <w:b w:val="0"/>
          <w:bCs/>
          <w:snapToGrid/>
          <w:color w:val="auto"/>
          <w:spacing w:val="0"/>
          <w:kern w:val="2"/>
          <w:position w:val="0"/>
          <w:sz w:val="32"/>
          <w:szCs w:val="32"/>
          <w:lang w:val="en-US" w:eastAsia="zh-CN" w:bidi="ar"/>
        </w:rPr>
        <w:t>（三）公平竞争审查第三方评估工作配合情况得分</w:t>
      </w:r>
      <w:bookmarkEnd w:id="18"/>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临泽县在公平竞争审查工作第三方评估项目中积极配合，及时移交评估所需文件及佐证材料，沟通顺畅，确保了公平竞争审查第三方评估工作顺利开展，按照《张掖市公平竞争审查工作第三方评估执行手册》中评估指标量化打分，临泽县在工作配合情况中得100分。</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 w:hAnsi="楷体" w:eastAsia="楷体" w:cs="楷体"/>
          <w:b w:val="0"/>
          <w:bCs/>
          <w:snapToGrid/>
          <w:color w:val="auto"/>
          <w:spacing w:val="0"/>
          <w:kern w:val="2"/>
          <w:position w:val="0"/>
          <w:sz w:val="32"/>
          <w:szCs w:val="32"/>
          <w:lang w:val="en-US" w:eastAsia="zh-CN" w:bidi="ar"/>
        </w:rPr>
      </w:pPr>
      <w:bookmarkStart w:id="19" w:name="_Toc16285"/>
      <w:r>
        <w:rPr>
          <w:rFonts w:hint="eastAsia" w:ascii="楷体" w:hAnsi="楷体" w:eastAsia="楷体" w:cs="楷体"/>
          <w:b w:val="0"/>
          <w:bCs/>
          <w:snapToGrid/>
          <w:color w:val="auto"/>
          <w:spacing w:val="0"/>
          <w:kern w:val="2"/>
          <w:position w:val="0"/>
          <w:sz w:val="32"/>
          <w:szCs w:val="32"/>
          <w:lang w:val="en-US" w:eastAsia="zh-CN" w:bidi="ar"/>
        </w:rPr>
        <w:t>（四）公平竞争审查第三方评估最终得分</w:t>
      </w:r>
      <w:bookmarkEnd w:id="19"/>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根据最终得分</w:t>
      </w:r>
      <w:r>
        <w:rPr>
          <w:rFonts w:hint="eastAsia" w:ascii="仿宋" w:hAnsi="仿宋" w:eastAsia="仿宋" w:cs="仿宋"/>
          <w:b w:val="0"/>
          <w:bCs/>
          <w:snapToGrid/>
          <w:color w:val="auto"/>
          <w:spacing w:val="0"/>
          <w:kern w:val="2"/>
          <w:position w:val="0"/>
          <w:sz w:val="32"/>
          <w:szCs w:val="32"/>
          <w:lang w:val="en-US" w:eastAsia="zh-CN" w:bidi="ar"/>
        </w:rPr>
        <w:t>=</w:t>
      </w:r>
      <w:r>
        <w:rPr>
          <w:rFonts w:hint="eastAsia" w:ascii="仿宋_GB2312" w:hAnsi="仿宋_GB2312" w:eastAsia="仿宋_GB2312" w:cs="仿宋_GB2312"/>
          <w:b w:val="0"/>
          <w:bCs/>
          <w:snapToGrid/>
          <w:color w:val="auto"/>
          <w:spacing w:val="0"/>
          <w:kern w:val="2"/>
          <w:position w:val="0"/>
          <w:sz w:val="32"/>
          <w:szCs w:val="32"/>
          <w:lang w:val="en-US" w:eastAsia="zh-CN" w:bidi="ar"/>
        </w:rPr>
        <w:t>工作部署落实情况评估得分×50%+政策措施评估得分×40%+工作配合情况得分×10%的计算公式，临泽县最终得分如表4所示：</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right="0"/>
        <w:jc w:val="center"/>
        <w:textAlignment w:val="auto"/>
        <w:rPr>
          <w:rFonts w:hint="eastAsia" w:ascii="黑体" w:hAnsi="黑体" w:eastAsia="黑体" w:cs="黑体"/>
          <w:b w:val="0"/>
          <w:bCs/>
          <w:snapToGrid/>
          <w:color w:val="auto"/>
          <w:spacing w:val="0"/>
          <w:kern w:val="2"/>
          <w:position w:val="0"/>
          <w:sz w:val="24"/>
          <w:szCs w:val="24"/>
          <w:lang w:val="en-US" w:eastAsia="zh-CN" w:bidi="ar"/>
        </w:rPr>
      </w:pPr>
      <w:r>
        <w:rPr>
          <w:rFonts w:hint="eastAsia" w:ascii="黑体" w:hAnsi="黑体" w:eastAsia="黑体" w:cs="黑体"/>
          <w:b w:val="0"/>
          <w:bCs/>
          <w:snapToGrid/>
          <w:color w:val="auto"/>
          <w:spacing w:val="0"/>
          <w:kern w:val="2"/>
          <w:position w:val="0"/>
          <w:sz w:val="24"/>
          <w:szCs w:val="24"/>
          <w:lang w:val="en-US" w:eastAsia="zh-CN" w:bidi="ar"/>
        </w:rPr>
        <w:t>表4临泽县第三方评估最终得分</w:t>
      </w:r>
    </w:p>
    <w:tbl>
      <w:tblPr>
        <w:tblStyle w:val="15"/>
        <w:tblW w:w="87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77"/>
        <w:gridCol w:w="2966"/>
        <w:gridCol w:w="32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2577" w:type="dxa"/>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被评估单位</w:t>
            </w:r>
          </w:p>
        </w:tc>
        <w:tc>
          <w:tcPr>
            <w:tcW w:w="6202" w:type="dxa"/>
            <w:gridSpan w:val="2"/>
            <w:vAlign w:val="center"/>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临泽县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2577" w:type="dxa"/>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公平竞争审查工作部署落实情况评估得分</w:t>
            </w:r>
          </w:p>
        </w:tc>
        <w:tc>
          <w:tcPr>
            <w:tcW w:w="2966" w:type="dxa"/>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公平竞争审查政策措</w:t>
            </w:r>
          </w:p>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施评估得分</w:t>
            </w:r>
          </w:p>
        </w:tc>
        <w:tc>
          <w:tcPr>
            <w:tcW w:w="3236" w:type="dxa"/>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公平竞争审查第三方评估工作配合情况得分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2577" w:type="dxa"/>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96</w:t>
            </w:r>
          </w:p>
        </w:tc>
        <w:tc>
          <w:tcPr>
            <w:tcW w:w="2966" w:type="dxa"/>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80</w:t>
            </w:r>
          </w:p>
        </w:tc>
        <w:tc>
          <w:tcPr>
            <w:tcW w:w="3236" w:type="dxa"/>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2577" w:type="dxa"/>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总分计算过程</w:t>
            </w:r>
          </w:p>
        </w:tc>
        <w:tc>
          <w:tcPr>
            <w:tcW w:w="6202" w:type="dxa"/>
            <w:gridSpan w:val="2"/>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96×50%+80×40%+100×10%=90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2577" w:type="dxa"/>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总分</w:t>
            </w:r>
          </w:p>
        </w:tc>
        <w:tc>
          <w:tcPr>
            <w:tcW w:w="6202" w:type="dxa"/>
            <w:gridSpan w:val="2"/>
            <w:vAlign w:val="top"/>
          </w:tcPr>
          <w:p>
            <w:pPr>
              <w:pStyle w:val="16"/>
              <w:keepNext w:val="0"/>
              <w:keepLines w:val="0"/>
              <w:pageBreakBefore w:val="0"/>
              <w:widowControl/>
              <w:kinsoku/>
              <w:wordWrap/>
              <w:overflowPunct/>
              <w:topLinePunct/>
              <w:autoSpaceDE w:val="0"/>
              <w:autoSpaceDN/>
              <w:bidi w:val="0"/>
              <w:spacing w:line="540" w:lineRule="exact"/>
              <w:ind w:right="0"/>
              <w:jc w:val="center"/>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90</w:t>
            </w:r>
          </w:p>
        </w:tc>
      </w:tr>
    </w:tbl>
    <w:p>
      <w:pPr>
        <w:keepNext w:val="0"/>
        <w:keepLines w:val="0"/>
        <w:pageBreakBefore w:val="0"/>
        <w:widowControl/>
        <w:kinsoku/>
        <w:wordWrap/>
        <w:overflowPunct/>
        <w:topLinePunct/>
        <w:autoSpaceDE w:val="0"/>
        <w:autoSpaceDN/>
        <w:bidi w:val="0"/>
        <w:spacing w:line="540" w:lineRule="exact"/>
        <w:ind w:left="0" w:right="0" w:firstLine="620" w:firstLineChars="200"/>
        <w:jc w:val="both"/>
        <w:outlineLvl w:val="0"/>
        <w:rPr>
          <w:rFonts w:ascii="黑体" w:hAnsi="黑体" w:eastAsia="黑体" w:cs="黑体"/>
          <w:snapToGrid/>
          <w:color w:val="auto"/>
          <w:spacing w:val="0"/>
          <w:w w:val="100"/>
          <w:position w:val="0"/>
          <w:sz w:val="31"/>
          <w:szCs w:val="31"/>
        </w:rPr>
      </w:pPr>
      <w:bookmarkStart w:id="20" w:name="_Toc14548"/>
      <w:r>
        <w:rPr>
          <w:rFonts w:ascii="黑体" w:hAnsi="黑体" w:eastAsia="黑体" w:cs="黑体"/>
          <w:snapToGrid/>
          <w:color w:val="auto"/>
          <w:spacing w:val="0"/>
          <w:w w:val="100"/>
          <w:position w:val="0"/>
          <w:sz w:val="31"/>
          <w:szCs w:val="31"/>
        </w:rPr>
        <w:t>四、意见建议</w:t>
      </w:r>
      <w:bookmarkEnd w:id="20"/>
    </w:p>
    <w:p>
      <w:pPr>
        <w:keepNext w:val="0"/>
        <w:keepLines w:val="0"/>
        <w:pageBreakBefore w:val="0"/>
        <w:widowControl/>
        <w:kinsoku/>
        <w:wordWrap/>
        <w:overflowPunct/>
        <w:topLinePunct/>
        <w:autoSpaceDE w:val="0"/>
        <w:autoSpaceDN/>
        <w:bidi w:val="0"/>
        <w:spacing w:line="540" w:lineRule="exact"/>
        <w:ind w:left="0" w:right="0" w:firstLine="600" w:firstLineChars="200"/>
        <w:jc w:val="both"/>
        <w:outlineLvl w:val="1"/>
        <w:rPr>
          <w:rFonts w:hint="eastAsia" w:ascii="楷体_GB2312" w:hAnsi="楷体_GB2312" w:eastAsia="楷体_GB2312" w:cs="楷体_GB2312"/>
          <w:snapToGrid/>
          <w:color w:val="auto"/>
          <w:spacing w:val="0"/>
          <w:w w:val="100"/>
          <w:position w:val="0"/>
          <w:sz w:val="30"/>
          <w:szCs w:val="30"/>
        </w:rPr>
      </w:pPr>
      <w:bookmarkStart w:id="21" w:name="_Toc21012"/>
      <w:r>
        <w:rPr>
          <w:rFonts w:hint="eastAsia" w:ascii="楷体_GB2312" w:hAnsi="楷体_GB2312" w:eastAsia="楷体_GB2312" w:cs="楷体_GB2312"/>
          <w:snapToGrid/>
          <w:color w:val="auto"/>
          <w:spacing w:val="0"/>
          <w:w w:val="100"/>
          <w:position w:val="0"/>
          <w:sz w:val="30"/>
          <w:szCs w:val="30"/>
          <w:lang w:eastAsia="zh-CN"/>
        </w:rPr>
        <w:t>（</w:t>
      </w:r>
      <w:r>
        <w:rPr>
          <w:rFonts w:hint="eastAsia" w:ascii="楷体_GB2312" w:hAnsi="楷体_GB2312" w:eastAsia="楷体_GB2312" w:cs="楷体_GB2312"/>
          <w:snapToGrid/>
          <w:color w:val="auto"/>
          <w:spacing w:val="0"/>
          <w:w w:val="100"/>
          <w:position w:val="0"/>
          <w:sz w:val="30"/>
          <w:szCs w:val="30"/>
        </w:rPr>
        <w:t>一</w:t>
      </w:r>
      <w:r>
        <w:rPr>
          <w:rFonts w:hint="eastAsia" w:ascii="楷体_GB2312" w:hAnsi="楷体_GB2312" w:eastAsia="楷体_GB2312" w:cs="楷体_GB2312"/>
          <w:snapToGrid/>
          <w:color w:val="auto"/>
          <w:spacing w:val="0"/>
          <w:w w:val="100"/>
          <w:position w:val="0"/>
          <w:sz w:val="30"/>
          <w:szCs w:val="30"/>
          <w:lang w:eastAsia="zh-CN"/>
        </w:rPr>
        <w:t>）</w:t>
      </w:r>
      <w:r>
        <w:rPr>
          <w:rFonts w:hint="eastAsia" w:ascii="楷体_GB2312" w:hAnsi="楷体_GB2312" w:eastAsia="楷体_GB2312" w:cs="楷体_GB2312"/>
          <w:snapToGrid/>
          <w:color w:val="auto"/>
          <w:spacing w:val="0"/>
          <w:w w:val="100"/>
          <w:position w:val="0"/>
          <w:sz w:val="30"/>
          <w:szCs w:val="30"/>
        </w:rPr>
        <w:t>加强审查机制建设，健全审查机制保障</w:t>
      </w:r>
      <w:bookmarkEnd w:id="21"/>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在此次公平竞争第三方评估过程中，临泽县部分增量措施后未附有公平竞争审查表，部分政策措施出台未经过公平竞争审查程序，新出台的涉及市场主体经营行为的政策措施一定程度上存在妨碍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bCs w:val="0"/>
          <w:snapToGrid/>
          <w:color w:val="auto"/>
          <w:spacing w:val="0"/>
          <w:kern w:val="2"/>
          <w:position w:val="0"/>
          <w:sz w:val="32"/>
          <w:szCs w:val="32"/>
          <w:lang w:val="en-US" w:eastAsia="zh-CN" w:bidi="ar"/>
        </w:rPr>
        <w:t>一是坚持“谁起草、谁审查、谁担责”的原则，</w:t>
      </w:r>
      <w:r>
        <w:rPr>
          <w:rFonts w:hint="eastAsia" w:ascii="仿宋_GB2312" w:hAnsi="仿宋_GB2312" w:eastAsia="仿宋_GB2312" w:cs="仿宋_GB2312"/>
          <w:b w:val="0"/>
          <w:bCs/>
          <w:snapToGrid/>
          <w:color w:val="auto"/>
          <w:spacing w:val="0"/>
          <w:kern w:val="2"/>
          <w:position w:val="0"/>
          <w:sz w:val="32"/>
          <w:szCs w:val="32"/>
          <w:lang w:val="en-US" w:eastAsia="zh-CN" w:bidi="ar"/>
        </w:rPr>
        <w:t>重点落实政策措施制定机关部门的责任，涉及市场主体经营活动的政策措施需经政策措施制定机关负责人在进行公平竞争审查后填写《公平竞争审查表》，各政策措施制定机关负责对制定的政策措施进行公平竞争审查，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bCs w:val="0"/>
          <w:snapToGrid/>
          <w:color w:val="auto"/>
          <w:spacing w:val="0"/>
          <w:kern w:val="2"/>
          <w:position w:val="0"/>
          <w:sz w:val="32"/>
          <w:szCs w:val="32"/>
          <w:lang w:val="en-US" w:eastAsia="zh-CN" w:bidi="ar"/>
        </w:rPr>
        <w:t>二是确保应纳入公平竞争审查的政策措施均进行公平竞争审查程序，</w:t>
      </w:r>
      <w:r>
        <w:rPr>
          <w:rFonts w:hint="eastAsia" w:ascii="仿宋_GB2312" w:hAnsi="仿宋_GB2312" w:eastAsia="仿宋_GB2312" w:cs="仿宋_GB2312"/>
          <w:b w:val="0"/>
          <w:bCs/>
          <w:snapToGrid/>
          <w:color w:val="auto"/>
          <w:spacing w:val="0"/>
          <w:kern w:val="2"/>
          <w:position w:val="0"/>
          <w:sz w:val="32"/>
          <w:szCs w:val="32"/>
          <w:lang w:val="en-US" w:eastAsia="zh-CN" w:bidi="ar"/>
        </w:rPr>
        <w:t>在严格落实“谁制定、谁审查”原则的基础上，对重大政策措施，若政策措施制定机关无法确定是否应进行公平竞争审查的，应报送县公平竞争审查工作部门联席会议办</w:t>
      </w:r>
      <w:bookmarkStart w:id="22" w:name="bookmark10"/>
      <w:bookmarkEnd w:id="22"/>
      <w:r>
        <w:rPr>
          <w:rFonts w:hint="eastAsia" w:ascii="仿宋_GB2312" w:hAnsi="仿宋_GB2312" w:eastAsia="仿宋_GB2312" w:cs="仿宋_GB2312"/>
          <w:b w:val="0"/>
          <w:bCs/>
          <w:snapToGrid/>
          <w:color w:val="auto"/>
          <w:spacing w:val="0"/>
          <w:kern w:val="2"/>
          <w:position w:val="0"/>
          <w:sz w:val="32"/>
          <w:szCs w:val="32"/>
          <w:lang w:val="en-US" w:eastAsia="zh-CN" w:bidi="ar"/>
        </w:rPr>
        <w:t>公室进行研判，确保应纳入公平竞争审查的政策措施文件均按照公平竞争审查工作要求进行彻底审查。</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bCs w:val="0"/>
          <w:snapToGrid/>
          <w:color w:val="auto"/>
          <w:spacing w:val="0"/>
          <w:kern w:val="2"/>
          <w:position w:val="0"/>
          <w:sz w:val="32"/>
          <w:szCs w:val="32"/>
          <w:lang w:val="en-US" w:eastAsia="zh-CN" w:bidi="ar"/>
        </w:rPr>
        <w:t>三是健全审查保障机制，</w:t>
      </w:r>
      <w:r>
        <w:rPr>
          <w:rFonts w:hint="eastAsia" w:ascii="仿宋_GB2312" w:hAnsi="仿宋_GB2312" w:eastAsia="仿宋_GB2312" w:cs="仿宋_GB2312"/>
          <w:b w:val="0"/>
          <w:bCs/>
          <w:snapToGrid/>
          <w:color w:val="auto"/>
          <w:spacing w:val="0"/>
          <w:kern w:val="2"/>
          <w:position w:val="0"/>
          <w:sz w:val="32"/>
          <w:szCs w:val="32"/>
          <w:lang w:val="en-US" w:eastAsia="zh-CN" w:bidi="ar"/>
        </w:rPr>
        <w:t>县公平竞争审查工作部门联席会议办公室可定期检查各政策措施制定机关报送公平竞争审查文件是否全面，对应纳入公平竞争审查而未进行的，要及时督促政策措施制定机关补充审查，如有违反公平竞争审查标准的，应及时建议修改或予以废止。</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 w:val="0"/>
          <w:bCs/>
          <w:snapToGrid/>
          <w:color w:val="auto"/>
          <w:spacing w:val="0"/>
          <w:kern w:val="2"/>
          <w:position w:val="0"/>
          <w:sz w:val="32"/>
          <w:szCs w:val="32"/>
          <w:lang w:val="en-US" w:eastAsia="zh-CN" w:bidi="ar"/>
        </w:rPr>
      </w:pPr>
      <w:bookmarkStart w:id="23" w:name="_Toc3989"/>
      <w:r>
        <w:rPr>
          <w:rFonts w:hint="eastAsia" w:ascii="楷体_GB2312" w:hAnsi="楷体_GB2312" w:eastAsia="楷体_GB2312" w:cs="楷体_GB2312"/>
          <w:b w:val="0"/>
          <w:bCs/>
          <w:snapToGrid/>
          <w:color w:val="auto"/>
          <w:spacing w:val="0"/>
          <w:kern w:val="2"/>
          <w:position w:val="0"/>
          <w:sz w:val="32"/>
          <w:szCs w:val="32"/>
          <w:lang w:val="en-US" w:eastAsia="zh-CN" w:bidi="ar"/>
        </w:rPr>
        <w:t>（二）加强内部培训，增强审查意识</w:t>
      </w:r>
      <w:bookmarkEnd w:id="23"/>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公平竞争审查制度运行不畅、落实</w:t>
      </w:r>
      <w:r>
        <w:rPr>
          <w:rFonts w:hint="eastAsia" w:ascii="仿宋_GB2312" w:hAnsi="仿宋_GB2312" w:eastAsia="仿宋_GB2312" w:cs="仿宋_GB2312"/>
          <w:b w:val="0"/>
          <w:bCs/>
          <w:strike w:val="0"/>
          <w:dstrike w:val="0"/>
          <w:snapToGrid/>
          <w:color w:val="auto"/>
          <w:spacing w:val="0"/>
          <w:kern w:val="2"/>
          <w:position w:val="0"/>
          <w:sz w:val="32"/>
          <w:szCs w:val="32"/>
          <w:lang w:val="en-US" w:eastAsia="zh-CN" w:bidi="ar"/>
        </w:rPr>
        <w:t>进度</w:t>
      </w:r>
      <w:r>
        <w:rPr>
          <w:rFonts w:hint="eastAsia" w:ascii="仿宋_GB2312" w:hAnsi="仿宋_GB2312" w:eastAsia="仿宋_GB2312" w:cs="仿宋_GB2312"/>
          <w:b w:val="0"/>
          <w:bCs/>
          <w:snapToGrid/>
          <w:color w:val="auto"/>
          <w:spacing w:val="0"/>
          <w:kern w:val="2"/>
          <w:position w:val="0"/>
          <w:sz w:val="32"/>
          <w:szCs w:val="32"/>
          <w:lang w:val="en-US" w:eastAsia="zh-CN" w:bidi="ar"/>
        </w:rPr>
        <w:t>不平衡、审查范围不够全面、审查工作不够规范等问题，很大程度上是各政策措施制定机关对公平竞争的认识和理解不到位有关，因此应当从宣传培训入手，增强各政策措施制定机关政策制定相关人员公平竞争审查意识。</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bCs w:val="0"/>
          <w:snapToGrid/>
          <w:color w:val="auto"/>
          <w:spacing w:val="0"/>
          <w:kern w:val="2"/>
          <w:position w:val="0"/>
          <w:sz w:val="32"/>
          <w:szCs w:val="32"/>
          <w:lang w:val="en-US" w:eastAsia="zh-CN" w:bidi="ar"/>
        </w:rPr>
        <w:t>一是加大各政策措施制定机关公平竞争审查机制与具体实施方案内容的学习，</w:t>
      </w:r>
      <w:r>
        <w:rPr>
          <w:rFonts w:hint="eastAsia" w:ascii="仿宋_GB2312" w:hAnsi="仿宋_GB2312" w:eastAsia="仿宋_GB2312" w:cs="仿宋_GB2312"/>
          <w:b w:val="0"/>
          <w:bCs/>
          <w:snapToGrid/>
          <w:color w:val="auto"/>
          <w:spacing w:val="0"/>
          <w:kern w:val="2"/>
          <w:position w:val="0"/>
          <w:sz w:val="32"/>
          <w:szCs w:val="32"/>
          <w:lang w:val="en-US" w:eastAsia="zh-CN" w:bidi="ar"/>
        </w:rPr>
        <w:t>规范公平竞争审查流程，确保政策制定人员对公平竞争审查流程有了解有掌握，相关培训不仅要覆盖到各政策措施制定机关联络员，各政策措施制定机关的职能科室也要重点学习，确保各政策措施制定机关文件能够按照公平竞争审查机制进行审查。</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3"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bCs w:val="0"/>
          <w:snapToGrid/>
          <w:color w:val="auto"/>
          <w:spacing w:val="0"/>
          <w:kern w:val="2"/>
          <w:position w:val="0"/>
          <w:sz w:val="32"/>
          <w:szCs w:val="32"/>
          <w:lang w:val="en-US" w:eastAsia="zh-CN" w:bidi="ar"/>
        </w:rPr>
        <w:t>二是通过案例教育的学习加深对公平竞争审查内容的理解，</w:t>
      </w:r>
      <w:r>
        <w:rPr>
          <w:rFonts w:hint="eastAsia" w:ascii="仿宋_GB2312" w:hAnsi="仿宋_GB2312" w:eastAsia="仿宋_GB2312" w:cs="仿宋_GB2312"/>
          <w:b w:val="0"/>
          <w:bCs/>
          <w:snapToGrid/>
          <w:color w:val="auto"/>
          <w:spacing w:val="0"/>
          <w:kern w:val="2"/>
          <w:position w:val="0"/>
          <w:sz w:val="32"/>
          <w:szCs w:val="32"/>
          <w:lang w:val="en-US" w:eastAsia="zh-CN" w:bidi="ar"/>
        </w:rPr>
        <w:t>学习本县已发现的违反公平竞争审查标准的案件，以及全国、全省典型案例，领会公平竞争审查标准。通过培训既可以避免各政策措施制定机关出台违反公平竞争审查标准的文件,也有利于各政策措施制定机关负责公平竞争审查的职能人员发现所制定</w:t>
      </w:r>
      <w:bookmarkStart w:id="24" w:name="bookmark12"/>
      <w:bookmarkEnd w:id="24"/>
      <w:bookmarkStart w:id="25" w:name="bookmark11"/>
      <w:bookmarkEnd w:id="25"/>
      <w:bookmarkStart w:id="26" w:name="bookmark14"/>
      <w:bookmarkEnd w:id="26"/>
      <w:bookmarkStart w:id="27" w:name="bookmark13"/>
      <w:bookmarkEnd w:id="27"/>
      <w:r>
        <w:rPr>
          <w:rFonts w:hint="eastAsia" w:ascii="仿宋_GB2312" w:hAnsi="仿宋_GB2312" w:eastAsia="仿宋_GB2312" w:cs="仿宋_GB2312"/>
          <w:b w:val="0"/>
          <w:bCs/>
          <w:snapToGrid/>
          <w:color w:val="auto"/>
          <w:spacing w:val="0"/>
          <w:kern w:val="2"/>
          <w:position w:val="0"/>
          <w:sz w:val="32"/>
          <w:szCs w:val="32"/>
          <w:lang w:val="en-US" w:eastAsia="zh-CN" w:bidi="ar"/>
        </w:rPr>
        <w:t>文件是否存在违反公平竞争审查标准的文件条款。</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 w:val="0"/>
          <w:bCs/>
          <w:snapToGrid/>
          <w:color w:val="auto"/>
          <w:spacing w:val="0"/>
          <w:kern w:val="2"/>
          <w:position w:val="0"/>
          <w:sz w:val="32"/>
          <w:szCs w:val="32"/>
          <w:lang w:val="en-US" w:eastAsia="zh-CN" w:bidi="ar"/>
        </w:rPr>
      </w:pPr>
      <w:bookmarkStart w:id="28" w:name="_Toc13186"/>
      <w:r>
        <w:rPr>
          <w:rFonts w:hint="eastAsia" w:ascii="楷体_GB2312" w:hAnsi="楷体_GB2312" w:eastAsia="楷体_GB2312" w:cs="楷体_GB2312"/>
          <w:b w:val="0"/>
          <w:bCs/>
          <w:snapToGrid/>
          <w:color w:val="auto"/>
          <w:spacing w:val="0"/>
          <w:kern w:val="2"/>
          <w:position w:val="0"/>
          <w:sz w:val="32"/>
          <w:szCs w:val="32"/>
          <w:lang w:val="en-US" w:eastAsia="zh-CN" w:bidi="ar"/>
        </w:rPr>
        <w:t>（三）聘请第三方进行审查，增强审查专业性</w:t>
      </w:r>
      <w:bookmarkEnd w:id="28"/>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公平竞争审查工作涉及专业性和政策性较强，对于工作与政策措施制定涉及市场主体的政策措施需进行公平竞争审查。目前，公平竞争审查工作主要采取各政策措施制定机关起草科室自查，再提交本单位法规科或办公室复查的形式,由于审查人员工作量大，审查质量难以保证，不乏流于形式、差错率高的情况。因此，建议联合外部的专业力量和团队协助审查，采取第三方审查方式，保障审查的客观性和有效性，推动审查工作更精准、更专业。</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 w:val="0"/>
          <w:bCs/>
          <w:snapToGrid/>
          <w:color w:val="auto"/>
          <w:spacing w:val="0"/>
          <w:kern w:val="2"/>
          <w:position w:val="0"/>
          <w:sz w:val="32"/>
          <w:szCs w:val="32"/>
          <w:lang w:val="en-US" w:eastAsia="zh-CN" w:bidi="ar"/>
        </w:rPr>
      </w:pPr>
      <w:bookmarkStart w:id="29" w:name="_Toc2526"/>
      <w:r>
        <w:rPr>
          <w:rFonts w:hint="eastAsia" w:ascii="楷体_GB2312" w:hAnsi="楷体_GB2312" w:eastAsia="楷体_GB2312" w:cs="楷体_GB2312"/>
          <w:b w:val="0"/>
          <w:bCs/>
          <w:snapToGrid/>
          <w:color w:val="auto"/>
          <w:spacing w:val="0"/>
          <w:kern w:val="2"/>
          <w:position w:val="0"/>
          <w:sz w:val="32"/>
          <w:szCs w:val="32"/>
          <w:lang w:val="en-US" w:eastAsia="zh-CN" w:bidi="ar"/>
        </w:rPr>
        <w:t>（四）利用好公平竞争审查投诉举报回应机制</w:t>
      </w:r>
      <w:bookmarkEnd w:id="29"/>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snapToGrid/>
          <w:color w:val="auto"/>
          <w:spacing w:val="0"/>
          <w:kern w:val="2"/>
          <w:position w:val="0"/>
          <w:sz w:val="32"/>
          <w:szCs w:val="32"/>
          <w:lang w:val="en-US" w:eastAsia="zh-CN" w:bidi="ar"/>
        </w:rPr>
        <w:t>投诉举报回应机制的建立有助于充分发挥公平竞争审查工作中社会监督的作用,是提高公平竞争审查政策透明度的有效途径，临泽县可以通过公平竞争审查投诉举报“一站式”受理与处</w:t>
      </w:r>
      <w:bookmarkStart w:id="30" w:name="bookmark3"/>
      <w:bookmarkEnd w:id="30"/>
      <w:bookmarkStart w:id="31" w:name="bookmark4"/>
      <w:bookmarkEnd w:id="31"/>
      <w:r>
        <w:rPr>
          <w:rFonts w:hint="eastAsia" w:ascii="仿宋_GB2312" w:hAnsi="仿宋_GB2312" w:eastAsia="仿宋_GB2312" w:cs="仿宋_GB2312"/>
          <w:b w:val="0"/>
          <w:bCs/>
          <w:snapToGrid/>
          <w:color w:val="auto"/>
          <w:spacing w:val="0"/>
          <w:kern w:val="2"/>
          <w:position w:val="0"/>
          <w:sz w:val="32"/>
          <w:szCs w:val="32"/>
          <w:lang w:val="en-US" w:eastAsia="zh-CN" w:bidi="ar"/>
        </w:rPr>
        <w:t>理机制，及时回应群众关切的问题，发现和纠正政策措施中出现排除和限制竞争的问题。</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both"/>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leftChars="0" w:right="0" w:firstLine="640" w:firstLineChars="200"/>
        <w:jc w:val="right"/>
        <w:textAlignment w:val="auto"/>
        <w:rPr>
          <w:rFonts w:hint="eastAsia" w:ascii="仿宋_GB2312" w:hAnsi="仿宋_GB2312" w:eastAsia="仿宋_GB2312" w:cs="仿宋_GB2312"/>
          <w:b w:val="0"/>
          <w:bCs/>
          <w:snapToGrid/>
          <w:color w:val="auto"/>
          <w:spacing w:val="0"/>
          <w:kern w:val="2"/>
          <w:position w:val="0"/>
          <w:sz w:val="32"/>
          <w:szCs w:val="32"/>
          <w:lang w:val="en-US" w:eastAsia="zh-CN" w:bidi="ar"/>
        </w:rPr>
      </w:pPr>
    </w:p>
    <w:p>
      <w:pPr>
        <w:keepNext w:val="0"/>
        <w:keepLines w:val="0"/>
        <w:pageBreakBefore w:val="0"/>
        <w:widowControl w:val="0"/>
        <w:kinsoku/>
        <w:wordWrap w:val="0"/>
        <w:overflowPunct/>
        <w:topLinePunct w:val="0"/>
        <w:autoSpaceDE/>
        <w:autoSpaceDN/>
        <w:bidi w:val="0"/>
        <w:adjustRightInd/>
        <w:snapToGrid/>
        <w:spacing w:beforeAutospacing="0" w:afterAutospacing="0" w:line="540" w:lineRule="exact"/>
        <w:ind w:left="0" w:leftChars="0" w:right="0" w:firstLine="640" w:firstLineChars="200"/>
        <w:jc w:val="right"/>
        <w:textAlignment w:val="auto"/>
        <w:outlineLvl w:val="9"/>
        <w:rPr>
          <w:rFonts w:hint="default"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 w:val="0"/>
          <w:bCs/>
          <w:color w:val="auto"/>
          <w:spacing w:val="0"/>
          <w:position w:val="0"/>
          <w:sz w:val="32"/>
          <w:szCs w:val="32"/>
          <w:lang w:val="en-US" w:eastAsia="zh-CN"/>
        </w:rPr>
        <w:t xml:space="preserve">甘肃金彤律师事务所    </w:t>
      </w:r>
    </w:p>
    <w:p>
      <w:pPr>
        <w:keepNext w:val="0"/>
        <w:keepLines w:val="0"/>
        <w:pageBreakBefore w:val="0"/>
        <w:widowControl w:val="0"/>
        <w:kinsoku/>
        <w:wordWrap w:val="0"/>
        <w:overflowPunct/>
        <w:topLinePunct w:val="0"/>
        <w:autoSpaceDE/>
        <w:autoSpaceDN/>
        <w:bidi w:val="0"/>
        <w:adjustRightInd/>
        <w:snapToGrid/>
        <w:spacing w:beforeAutospacing="0" w:afterAutospacing="0" w:line="540" w:lineRule="exact"/>
        <w:ind w:left="0" w:leftChars="0" w:right="0" w:firstLine="4160" w:firstLineChars="1300"/>
        <w:jc w:val="right"/>
        <w:textAlignment w:val="auto"/>
        <w:outlineLvl w:val="9"/>
        <w:rPr>
          <w:rFonts w:hint="eastAsia" w:ascii="仿宋_GB2312" w:hAnsi="仿宋_GB2312" w:eastAsia="仿宋_GB2312" w:cs="仿宋_GB2312"/>
          <w:b w:val="0"/>
          <w:bCs/>
          <w:snapToGrid/>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position w:val="0"/>
          <w:sz w:val="32"/>
          <w:szCs w:val="32"/>
          <w:lang w:val="en-US" w:eastAsia="zh-CN"/>
        </w:rPr>
        <w:t xml:space="preserve">  二零二三年四月三十日   </w:t>
      </w: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ascii="仿宋_GB2312" w:hAnsi="仿宋_GB2312" w:eastAsia="仿宋_GB2312" w:cs="仿宋_GB2312"/>
          <w:b w:val="0"/>
          <w:bCs/>
          <w:snapToGrid/>
          <w:color w:val="auto"/>
          <w:spacing w:val="0"/>
          <w:kern w:val="2"/>
          <w:position w:val="0"/>
          <w:sz w:val="32"/>
          <w:szCs w:val="32"/>
          <w:lang w:val="en-US" w:eastAsia="zh-CN" w:bidi="ar"/>
        </w:rPr>
      </w:pPr>
    </w:p>
    <w:p>
      <w:pPr>
        <w:rPr>
          <w:rFonts w:hint="eastAsia" w:ascii="仿宋_GB2312" w:hAnsi="仿宋_GB2312" w:eastAsia="仿宋_GB2312" w:cs="仿宋_GB2312"/>
          <w:b w:val="0"/>
          <w:bCs/>
          <w:snapToGrid/>
          <w:color w:val="auto"/>
          <w:spacing w:val="0"/>
          <w:kern w:val="2"/>
          <w:position w:val="0"/>
          <w:sz w:val="32"/>
          <w:szCs w:val="32"/>
          <w:lang w:val="en-US" w:eastAsia="zh-CN" w:bidi="ar"/>
        </w:rPr>
      </w:pPr>
    </w:p>
    <w:p>
      <w:pPr>
        <w:pStyle w:val="2"/>
        <w:rPr>
          <w:rFonts w:hint="eastAsia"/>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snapToGrid/>
          <w:color w:val="auto"/>
          <w:spacing w:val="0"/>
          <w:kern w:val="2"/>
          <w:position w:val="0"/>
          <w:sz w:val="32"/>
          <w:szCs w:val="32"/>
          <w:lang w:val="en-US" w:eastAsia="zh-CN" w:bidi="ar"/>
        </w:rPr>
      </w:pPr>
      <w:bookmarkStart w:id="32" w:name="bookmark15"/>
      <w:bookmarkEnd w:id="32"/>
      <w:bookmarkStart w:id="33" w:name="_Toc31250"/>
      <w:r>
        <w:rPr>
          <w:rFonts w:hint="eastAsia" w:ascii="黑体" w:hAnsi="黑体" w:eastAsia="黑体" w:cs="黑体"/>
          <w:b w:val="0"/>
          <w:bCs/>
          <w:snapToGrid/>
          <w:color w:val="auto"/>
          <w:spacing w:val="0"/>
          <w:kern w:val="2"/>
          <w:position w:val="0"/>
          <w:sz w:val="32"/>
          <w:szCs w:val="32"/>
          <w:lang w:val="en-US" w:eastAsia="zh-CN" w:bidi="ar"/>
        </w:rPr>
        <w:t>附件一：</w:t>
      </w:r>
      <w:r>
        <w:rPr>
          <w:rFonts w:hint="eastAsia" w:ascii="黑体" w:hAnsi="黑体" w:eastAsia="黑体" w:cs="黑体"/>
          <w:b w:val="0"/>
          <w:bCs/>
          <w:snapToGrid/>
          <w:color w:val="auto"/>
          <w:spacing w:val="0"/>
          <w:kern w:val="2"/>
          <w:position w:val="0"/>
          <w:sz w:val="28"/>
          <w:szCs w:val="30"/>
          <w:lang w:val="en-US" w:eastAsia="zh-CN" w:bidi="ar"/>
        </w:rPr>
        <w:t>临泽县</w:t>
      </w:r>
      <w:r>
        <w:rPr>
          <w:rFonts w:hint="eastAsia" w:ascii="黑体" w:hAnsi="黑体" w:eastAsia="黑体" w:cs="黑体"/>
          <w:b w:val="0"/>
          <w:bCs/>
          <w:color w:val="auto"/>
          <w:spacing w:val="0"/>
          <w:kern w:val="2"/>
          <w:position w:val="0"/>
          <w:sz w:val="28"/>
          <w:szCs w:val="30"/>
          <w:lang w:val="en-US" w:eastAsia="zh-CN" w:bidi="ar"/>
        </w:rPr>
        <w:t>政策措施</w:t>
      </w:r>
      <w:r>
        <w:rPr>
          <w:rFonts w:hint="eastAsia" w:ascii="黑体" w:hAnsi="黑体" w:eastAsia="黑体" w:cs="黑体"/>
          <w:b w:val="0"/>
          <w:bCs/>
          <w:snapToGrid/>
          <w:color w:val="auto"/>
          <w:spacing w:val="0"/>
          <w:kern w:val="2"/>
          <w:position w:val="0"/>
          <w:sz w:val="28"/>
          <w:szCs w:val="30"/>
          <w:lang w:val="en-US" w:eastAsia="zh-CN" w:bidi="ar"/>
        </w:rPr>
        <w:t>文件目录</w:t>
      </w:r>
      <w:bookmarkEnd w:id="33"/>
    </w:p>
    <w:p>
      <w:pPr>
        <w:keepNext w:val="0"/>
        <w:keepLines w:val="0"/>
        <w:widowControl w:val="0"/>
        <w:suppressLineNumbers w:val="0"/>
        <w:kinsoku/>
        <w:autoSpaceDE/>
        <w:autoSpaceDN/>
        <w:adjustRightInd/>
        <w:snapToGrid/>
        <w:spacing w:beforeAutospacing="0" w:afterAutospacing="0" w:line="360" w:lineRule="auto"/>
        <w:ind w:left="0" w:leftChars="0" w:right="0" w:firstLine="0"/>
        <w:jc w:val="center"/>
        <w:textAlignment w:val="auto"/>
        <w:rPr>
          <w:rFonts w:hint="eastAsia" w:ascii="黑体" w:hAnsi="黑体" w:eastAsia="黑体" w:cs="黑体"/>
          <w:b w:val="0"/>
          <w:bCs/>
          <w:snapToGrid/>
          <w:color w:val="auto"/>
          <w:spacing w:val="0"/>
          <w:kern w:val="2"/>
          <w:position w:val="0"/>
          <w:sz w:val="28"/>
          <w:szCs w:val="30"/>
          <w:lang w:val="en-US" w:eastAsia="zh-CN" w:bidi="ar"/>
        </w:rPr>
      </w:pPr>
      <w:r>
        <w:rPr>
          <w:rFonts w:hint="eastAsia" w:ascii="黑体" w:hAnsi="黑体" w:eastAsia="黑体" w:cs="黑体"/>
          <w:b w:val="0"/>
          <w:bCs/>
          <w:snapToGrid/>
          <w:color w:val="auto"/>
          <w:spacing w:val="0"/>
          <w:kern w:val="2"/>
          <w:position w:val="0"/>
          <w:sz w:val="28"/>
          <w:szCs w:val="30"/>
          <w:lang w:val="en-US" w:eastAsia="zh-CN" w:bidi="ar"/>
        </w:rPr>
        <w:t>临泽县</w:t>
      </w:r>
      <w:r>
        <w:rPr>
          <w:rFonts w:hint="eastAsia" w:ascii="黑体" w:hAnsi="黑体" w:eastAsia="黑体" w:cs="黑体"/>
          <w:b w:val="0"/>
          <w:bCs/>
          <w:color w:val="auto"/>
          <w:spacing w:val="0"/>
          <w:kern w:val="2"/>
          <w:position w:val="0"/>
          <w:sz w:val="28"/>
          <w:szCs w:val="30"/>
          <w:lang w:val="en-US" w:eastAsia="zh-CN" w:bidi="ar"/>
        </w:rPr>
        <w:t>政策措施</w:t>
      </w:r>
      <w:r>
        <w:rPr>
          <w:rFonts w:hint="eastAsia" w:ascii="黑体" w:hAnsi="黑体" w:eastAsia="黑体" w:cs="黑体"/>
          <w:b w:val="0"/>
          <w:bCs/>
          <w:snapToGrid/>
          <w:color w:val="auto"/>
          <w:spacing w:val="0"/>
          <w:kern w:val="2"/>
          <w:position w:val="0"/>
          <w:sz w:val="28"/>
          <w:szCs w:val="30"/>
          <w:lang w:val="en-US" w:eastAsia="zh-CN" w:bidi="ar"/>
        </w:rPr>
        <w:t>文件目录</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2546"/>
        <w:gridCol w:w="3635"/>
        <w:gridCol w:w="1114"/>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序号</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是否在本次审核时间范围内</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是否设计市场主题及经济活动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临物价发〔2012〕2号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临泽县物价局关于调整城市垃圾处理费标准的批复</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临政办发[2019]7号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《临泽县凹凸棒石产业发展奖励扶持办法（试行）》</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临政发[2019]8号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《临泽县通用航空产业发展奖励扶持办法》</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临政发[2019]9号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《临泽县绿色食品加工业发展奖励扶持办法》</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临政发[2019]13号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《临泽县村组道路建设管理办法》</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6</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临政发[2019]94号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《临泽县农村流转土地经营权登记颁证管理办法》</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7</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临政办发〔2021〕1号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临泽县人民政府办公室关于转批《临泽县住宅小区机动车停放服务收费管理办法》的通知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8</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8号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临泽县人民政府办公室关于印发《临泽县行政事业单位会计集中核算实施方案的通知》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9</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临政发〔2021〕21号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临泽县农村集体资金资产资源管理办法</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10</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临政发〔2021〕23号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临泽县人民政府关于印发《临泽县城镇垃圾处理费征收管理办法》的通知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11</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临政发〔2021〕25号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临泽县人民政府关于印发《临泽县县级储备粮轮换管理办法》《临泽县县级应急成品粮储备管理办法》的通知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临政办发〔2021〕26号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临泽县人民政府办公室关于印发《临泽县进一步推进工程建设项目全流程在线审批工作实施方案的通知》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13</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临政办发〔2021〕27号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临泽县人民政府关于印发《临泽县深化“证照分离”改革进一步激发市场主体发展活力实施方案》的通知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14</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临政办发2021〕35号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临泽县人民政府办公室关于印发《临泽县促进养老托育服务健康发展实施方案》的通知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15</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临政办发〔2021〕36号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临泽县人民政府办公室关于印发《临泽县深化农村公路管理养护体制改革工作方案的通知》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16</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临政办发〔2022〕2号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临泽县人民政府办公室关于印发《临泽县青少年科技创新县长奖评选办法》的通知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17</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《临泽县农村土地经营权和地上附着物产权抵押登记管理办法》《临泽县农村土地经营权抵押贷款管理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办法》、《临泽县农业设施产权登记颁证管理办法》</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18</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（临政办发〔2022）4号〕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临泽县人民政府办公室关于印发《临泽县财政投资评审管理办法》的通知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19</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临泽县人民政府办公室关于印发《临泽县城区生活污水处理费征收方案的通知》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20</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临政办发〔2022〕6号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临泽县人民政府办法关于印发《加强县域商业体系建设促进农村消费的实施方案》的通知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21</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临政发〔2022〕8号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临泽县人民政府半球印发《临泽县建立绿色低碳循环发展经济体系实施方案》的通知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临政办发〔2022〕9号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临泽县人民政府办公室关于印发《临泽县突事件应急处置期间生活物资保障工作方案》</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23</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临政发〔2022〕10号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临泽县人民政府关于强化招商引资工作促进经济高质量发展的意见</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24</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临政发〔2022〕11号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临泽县人民政府关于印发《临泽县稳住经济一揽子政策措施》的通知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临政发〔2022〕15号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临泽县人民政府关于印发《临泽县城区污水处理费征收使用管理办法的通知》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26</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（临政发〔2022〕16号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临泽县人民政府《关于印发临泽县农村集体聚餐及流动厨师管理办法》的通知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27</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（临政发〔2022〕17号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临泽县人民政府《关于印发临泽县食品药品监管协管员管理办法》的通知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28</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临政办发〔2022〕17号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临泽县人民政府办公室关于印发《临泽县DIP支付方式改革三年行动实施方案》的通知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29</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临政发〔2022〕21号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临泽县人民政府关于印发《临泽县扶贫资产后续管理监督办法》的通知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30</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临政发〔2022〕22号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临泽县人民政府关于印发《临泽县农业末级渠系水费收缴管理办法》的通知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31</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临政办发〔2022〕22号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临泽县人民政府办公室关于印发《临泽县“十四五”教育事业发展规划》的通知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32</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临政发〔2022〕23号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临泽县人民政府关于印发《临泽县村组道路建设养护管理办法》的通知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33</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临政发〔2022〕25号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临泽县人民政府关于印发《临泽县地下水资源管理办法》的通知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34</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（临政发〔2022〕26号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临泽县人民政府办公室关于印发《临泽县县镇两级食品药品安全委员会办公室规范化建设实施意见》的通知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临政办发〔2022〕43号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临泽县人民政府办公室关于印发《临泽县开展城乡房屋建筑安全隐患排查整治专项行动工作方案》的通知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36</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临政办函〔2022〕54号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临泽县人民政府办公室关于临泽县2013-2020年扶贫项目资产确权登记的通知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37</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临政办发〔2022〕55号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临泽县人民政府办公室关于印发《临泽县公路交通保障应急预案》的通知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38</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临政办发〔2022〕57号</w:t>
            </w: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临泽县人民政府办公室关于印发《临泽县推进新建商品房交房即交证改革工作实施方案的通知》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39</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临政办发〔2022〕58号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临泽县人民政府办公室关于印发《临泽县2022年农业生产社会化服务项目实施方案》的通知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40</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临政办发〔2022〕59号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临泽县人民政府办公室关于印发《临泽县县直部门单位招商引资激励措施》的通知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41</w:t>
            </w:r>
          </w:p>
        </w:tc>
        <w:tc>
          <w:tcPr>
            <w:tcW w:w="140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临政办发〔2022〕68号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c>
          <w:tcPr>
            <w:tcW w:w="2006"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临泽县人民政府办公室关于印发《临泽县防范政府性投资项目债务风险管理办法》的通知</w:t>
            </w:r>
          </w:p>
        </w:tc>
        <w:tc>
          <w:tcPr>
            <w:tcW w:w="615"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c>
          <w:tcPr>
            <w:tcW w:w="67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default" w:ascii="Arial" w:hAnsi="Arial" w:eastAsia="仿宋_GB2312" w:cs="Arial"/>
                <w:b w:val="0"/>
                <w:bCs/>
                <w:snapToGrid/>
                <w:color w:val="auto"/>
                <w:spacing w:val="0"/>
                <w:kern w:val="2"/>
                <w:position w:val="0"/>
                <w:sz w:val="24"/>
                <w:szCs w:val="24"/>
                <w:lang w:val="en-US" w:eastAsia="zh-CN"/>
              </w:rPr>
              <w:t>√</w:t>
            </w:r>
          </w:p>
        </w:tc>
      </w:tr>
    </w:tbl>
    <w:p>
      <w:pPr>
        <w:keepNext w:val="0"/>
        <w:keepLines w:val="0"/>
        <w:pageBreakBefore w:val="0"/>
        <w:widowControl/>
        <w:kinsoku/>
        <w:wordWrap/>
        <w:overflowPunct/>
        <w:topLinePunct/>
        <w:autoSpaceDE w:val="0"/>
        <w:autoSpaceDN/>
        <w:bidi w:val="0"/>
        <w:spacing w:line="540" w:lineRule="exact"/>
        <w:ind w:left="0" w:right="0" w:firstLine="560" w:firstLineChars="200"/>
        <w:jc w:val="both"/>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pStyle w:val="2"/>
        <w:rPr>
          <w:rFonts w:hint="eastAsia" w:ascii="仿宋_GB2312" w:hAnsi="仿宋_GB2312" w:eastAsia="仿宋_GB2312" w:cs="仿宋_GB2312"/>
          <w:snapToGrid/>
          <w:color w:val="auto"/>
          <w:spacing w:val="0"/>
          <w:w w:val="100"/>
          <w:position w:val="0"/>
          <w:sz w:val="28"/>
          <w:szCs w:val="28"/>
        </w:rPr>
      </w:pPr>
    </w:p>
    <w:p>
      <w:pPr>
        <w:rPr>
          <w:rFonts w:hint="eastAsia" w:ascii="仿宋_GB2312" w:hAnsi="仿宋_GB2312" w:eastAsia="仿宋_GB2312" w:cs="仿宋_GB2312"/>
          <w:snapToGrid/>
          <w:color w:val="auto"/>
          <w:spacing w:val="0"/>
          <w:w w:val="100"/>
          <w:position w:val="0"/>
          <w:sz w:val="28"/>
          <w:szCs w:val="28"/>
        </w:rPr>
      </w:pP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snapToGrid/>
          <w:color w:val="auto"/>
          <w:spacing w:val="0"/>
          <w:kern w:val="2"/>
          <w:position w:val="0"/>
          <w:sz w:val="32"/>
          <w:szCs w:val="32"/>
          <w:lang w:val="en-US" w:eastAsia="zh-CN" w:bidi="ar"/>
        </w:rPr>
      </w:pPr>
      <w:bookmarkStart w:id="34" w:name="_Toc25229"/>
      <w:r>
        <w:rPr>
          <w:rFonts w:hint="eastAsia" w:ascii="黑体" w:hAnsi="黑体" w:eastAsia="黑体" w:cs="黑体"/>
          <w:b w:val="0"/>
          <w:bCs/>
          <w:snapToGrid/>
          <w:color w:val="auto"/>
          <w:spacing w:val="0"/>
          <w:kern w:val="2"/>
          <w:position w:val="0"/>
          <w:sz w:val="32"/>
          <w:szCs w:val="32"/>
          <w:lang w:val="en-US" w:eastAsia="zh-CN" w:bidi="ar"/>
        </w:rPr>
        <w:t>附件二：</w:t>
      </w:r>
      <w:bookmarkEnd w:id="34"/>
      <w:r>
        <w:rPr>
          <w:rFonts w:hint="eastAsia" w:ascii="黑体" w:hAnsi="黑体" w:eastAsia="黑体" w:cs="黑体"/>
          <w:b w:val="0"/>
          <w:bCs/>
          <w:color w:val="auto"/>
          <w:kern w:val="2"/>
          <w:sz w:val="30"/>
          <w:szCs w:val="30"/>
          <w:highlight w:val="none"/>
          <w:lang w:val="en-US" w:eastAsia="zh-CN" w:bidi="ar"/>
        </w:rPr>
        <w:t>临泽县政策措施评估表</w:t>
      </w: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54"/>
        <w:gridCol w:w="4338"/>
        <w:gridCol w:w="15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《临泽县物价局关于调整城市垃圾处理费标准的批复》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临物价发[2012]2号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12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1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临泽县物价局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12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1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12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1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7"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5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该文件不属于审查范围。</w:t>
            </w:r>
          </w:p>
        </w:tc>
      </w:tr>
    </w:tbl>
    <w:p>
      <w:pPr>
        <w:pStyle w:val="2"/>
        <w:rPr>
          <w:rFonts w:hint="eastAsia" w:ascii="仿宋_GB2312" w:hAnsi="仿宋_GB2312" w:eastAsia="仿宋_GB2312" w:cs="仿宋_GB2312"/>
          <w:b w:val="0"/>
          <w:bCs/>
          <w:color w:val="auto"/>
          <w:sz w:val="30"/>
          <w:szCs w:val="30"/>
          <w:highlight w:val="none"/>
          <w:lang w:val="en-US" w:eastAsia="zh-CN"/>
        </w:rPr>
      </w:pPr>
    </w:p>
    <w:p>
      <w:pPr>
        <w:rPr>
          <w:rFonts w:hint="eastAsia" w:ascii="仿宋_GB2312" w:hAnsi="仿宋_GB2312" w:eastAsia="仿宋_GB2312" w:cs="仿宋_GB2312"/>
          <w:b w:val="0"/>
          <w:bCs/>
          <w:color w:val="auto"/>
          <w:sz w:val="30"/>
          <w:szCs w:val="30"/>
          <w:highlight w:val="none"/>
          <w:lang w:val="en-US" w:eastAsia="zh-CN"/>
        </w:rPr>
      </w:pPr>
    </w:p>
    <w:p>
      <w:pPr>
        <w:pStyle w:val="2"/>
        <w:rPr>
          <w:rFonts w:hint="eastAsia" w:ascii="仿宋_GB2312" w:hAnsi="仿宋_GB2312" w:eastAsia="仿宋_GB2312" w:cs="仿宋_GB2312"/>
          <w:b w:val="0"/>
          <w:bCs/>
          <w:color w:val="auto"/>
          <w:sz w:val="30"/>
          <w:szCs w:val="30"/>
          <w:highlight w:val="none"/>
          <w:lang w:val="en-US" w:eastAsia="zh-CN"/>
        </w:rPr>
      </w:pPr>
    </w:p>
    <w:p>
      <w:pPr>
        <w:rPr>
          <w:rFonts w:hint="eastAsia" w:ascii="仿宋_GB2312" w:hAnsi="仿宋_GB2312" w:eastAsia="仿宋_GB2312" w:cs="仿宋_GB2312"/>
          <w:b w:val="0"/>
          <w:bCs/>
          <w:color w:val="auto"/>
          <w:sz w:val="30"/>
          <w:szCs w:val="30"/>
          <w:highlight w:val="none"/>
          <w:lang w:val="en-US" w:eastAsia="zh-CN"/>
        </w:rPr>
      </w:pPr>
    </w:p>
    <w:p>
      <w:pPr>
        <w:pStyle w:val="2"/>
        <w:rPr>
          <w:rFonts w:hint="eastAsia" w:ascii="仿宋_GB2312" w:hAnsi="仿宋_GB2312" w:eastAsia="仿宋_GB2312" w:cs="仿宋_GB2312"/>
          <w:b w:val="0"/>
          <w:bCs/>
          <w:color w:val="auto"/>
          <w:sz w:val="30"/>
          <w:szCs w:val="30"/>
          <w:highlight w:val="none"/>
          <w:lang w:val="en-US" w:eastAsia="zh-CN"/>
        </w:rPr>
      </w:pPr>
    </w:p>
    <w:p>
      <w:pPr>
        <w:rPr>
          <w:rFonts w:hint="eastAsia" w:ascii="仿宋_GB2312" w:hAnsi="仿宋_GB2312" w:eastAsia="仿宋_GB2312" w:cs="仿宋_GB2312"/>
          <w:b w:val="0"/>
          <w:bCs/>
          <w:color w:val="auto"/>
          <w:sz w:val="30"/>
          <w:szCs w:val="30"/>
          <w:highlight w:val="none"/>
          <w:lang w:val="en-US" w:eastAsia="zh-CN"/>
        </w:rPr>
      </w:pPr>
    </w:p>
    <w:p>
      <w:pPr>
        <w:pStyle w:val="2"/>
        <w:rPr>
          <w:rFonts w:hint="eastAsia"/>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36"/>
        <w:gridCol w:w="4269"/>
        <w:gridCol w:w="16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《临泽县凹凸棒石产业发展奖励扶持办法（试行）》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临政办发[2019]7号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111"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3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111"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3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111"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3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44"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3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属于自查范围，以自查报告为准。</w:t>
            </w:r>
          </w:p>
        </w:tc>
      </w:tr>
    </w:tbl>
    <w:p>
      <w:pPr>
        <w:pStyle w:val="11"/>
        <w:keepNext w:val="0"/>
        <w:keepLines w:val="0"/>
        <w:widowControl w:val="0"/>
        <w:suppressLineNumbers w:val="0"/>
        <w:spacing w:before="0" w:beforeAutospacing="0" w:after="120" w:afterAutospacing="0" w:line="480" w:lineRule="auto"/>
        <w:ind w:right="0"/>
        <w:jc w:val="center"/>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widowControl w:val="0"/>
        <w:suppressLineNumbers w:val="0"/>
        <w:spacing w:before="0" w:beforeAutospacing="0" w:after="120" w:afterAutospacing="0" w:line="480" w:lineRule="auto"/>
        <w:ind w:right="0"/>
        <w:jc w:val="center"/>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widowControl w:val="0"/>
        <w:suppressLineNumbers w:val="0"/>
        <w:spacing w:before="0" w:beforeAutospacing="0" w:after="120" w:afterAutospacing="0" w:line="480" w:lineRule="auto"/>
        <w:ind w:right="0"/>
        <w:jc w:val="center"/>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widowControl w:val="0"/>
        <w:suppressLineNumbers w:val="0"/>
        <w:spacing w:before="0" w:beforeAutospacing="0" w:after="120" w:afterAutospacing="0" w:line="480" w:lineRule="auto"/>
        <w:ind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320" w:lineRule="exact"/>
        <w:ind w:left="0" w:right="0"/>
        <w:jc w:val="center"/>
        <w:textAlignment w:val="baseline"/>
        <w:rPr>
          <w:rFonts w:hint="eastAsia" w:ascii="黑体" w:hAnsi="黑体" w:eastAsia="黑体" w:cs="黑体"/>
          <w:b w:val="0"/>
          <w:bCs/>
          <w:color w:val="auto"/>
          <w:sz w:val="30"/>
          <w:szCs w:val="30"/>
          <w:highlight w:val="none"/>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5000" w:type="pct"/>
        <w:jc w:val="center"/>
        <w:tblDescription w:val="{&quot;styleId&quot;:2}"/>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171"/>
        <w:gridCol w:w="257"/>
        <w:gridCol w:w="1662"/>
        <w:gridCol w:w="4014"/>
        <w:gridCol w:w="1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788" w:type="pct"/>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4211" w:type="pct"/>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《临泽县通用航空产业发展奖励扶持办法》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788"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4211"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临政发[2019]8号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1705" w:type="pct"/>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3294" w:type="pct"/>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1705" w:type="pct"/>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3294" w:type="pct"/>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1705" w:type="pct"/>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3294" w:type="pct"/>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一、是否违反市场准入和退出标准</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480" w:firstLineChars="2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1、设置不合理和歧视性的准入和退出条件</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2、未经公平竞争授予经营者特许经营权</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3、限定经营、购买、使用特定经营者提供的商品和服务</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8"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4、设置没有法律法规依据的审批或者具有行政审批性质的事前备案程序</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5、对市场准入负面清单以外的行业、领域、业务设置审批程序</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二、是否违反商品要素自由流通标准</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480" w:firstLineChars="2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1、对外地和进口食品、服务实行歧视性价格或补贴政策</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2、限制外地和进口商品、服务进入本地市场或阻碍本地商品运出</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3、排斥或限制外地经营者参加本地招标投标活动</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4、排斥或限制外地经营者在本地投资或设立分支机构</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5、对外地经营者在本地投资或设立的分支机构进行歧视性待遇</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三、是否违反影响生产经营成本标准</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480" w:firstLineChars="2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1、违法给予特定经营者优惠政策</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2、将财政支出安排与企业缴纳的税收或非税收入挂钩</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3、违法免除特定经营者需要缴纳的社会保险费用</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4、违法要求经营者提供各类保证金或扣留经营者保证金</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四、是否违反影响生产经营行为标准</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480" w:firstLineChars="2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1、强制经营者从事《反垄断法》规定的垄断行为</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2、违法披露或者要求经营者披露生产经营敏感信息</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3、超越定价权限进行政府定价</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五、是否违反兜底条款</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overflowPunct/>
              <w:topLinePunct w:val="0"/>
              <w:bidi w:val="0"/>
              <w:spacing w:beforeAutospacing="0" w:afterAutospacing="0" w:line="300" w:lineRule="exact"/>
              <w:ind w:left="0" w:right="0" w:firstLine="480" w:firstLineChars="2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1、是否无法律法规依据减损市场主体合法权益或者增加其义务</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2、是否违反《反垄断法》制定含有排除竞争内容的政策措施</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720" w:firstLineChars="3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六、是否适用例外规定</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480" w:firstLineChars="2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1、维护国家经济安全、文化安全或者设计国防建设  </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480" w:firstLineChars="2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2、实现扶贫开发，救灾救助等社会目的   </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3、实现节约能源资源，保护生态环境的社会公益目的</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jc w:val="center"/>
        </w:trPr>
        <w:tc>
          <w:tcPr>
            <w:tcW w:w="39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 xml:space="preserve">4、法律行政法规规定的其他情况    </w:t>
            </w:r>
          </w:p>
        </w:tc>
        <w:tc>
          <w:tcPr>
            <w:tcW w:w="1079" w:type="pct"/>
            <w:tcBorders>
              <w:top w:val="single" w:color="000000" w:sz="4" w:space="0"/>
              <w:left w:val="nil"/>
              <w:bottom w:val="single" w:color="000000" w:sz="4" w:space="0"/>
              <w:right w:val="single" w:color="000000" w:sz="4" w:space="0"/>
            </w:tcBorders>
            <w:shd w:val="clear" w:color="auto" w:fill="auto"/>
            <w:vAlign w:val="center"/>
          </w:tcPr>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firstLine="480" w:firstLineChars="200"/>
              <w:jc w:val="both"/>
              <w:rPr>
                <w:rFonts w:hint="eastAsia" w:ascii="仿宋_GB2312" w:hAnsi="仿宋_GB2312" w:eastAsia="仿宋_GB2312" w:cs="仿宋_GB2312"/>
                <w:b w:val="0"/>
                <w:bCs/>
                <w:snapToGrid/>
                <w:color w:val="auto"/>
                <w:spacing w:val="0"/>
                <w:kern w:val="2"/>
                <w:positio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exact"/>
          <w:jc w:val="center"/>
        </w:trPr>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见</w:t>
            </w:r>
          </w:p>
        </w:tc>
        <w:tc>
          <w:tcPr>
            <w:tcW w:w="4353" w:type="pct"/>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bidi="ar-SA"/>
              </w:rPr>
            </w:pPr>
            <w:r>
              <w:rPr>
                <w:rFonts w:hint="eastAsia" w:ascii="仿宋_GB2312" w:hAnsi="仿宋_GB2312" w:eastAsia="仿宋_GB2312" w:cs="仿宋_GB2312"/>
                <w:b w:val="0"/>
                <w:bCs/>
                <w:snapToGrid/>
                <w:color w:val="auto"/>
                <w:spacing w:val="0"/>
                <w:kern w:val="2"/>
                <w:position w:val="0"/>
                <w:sz w:val="24"/>
                <w:szCs w:val="24"/>
                <w:lang w:val="en-US" w:eastAsia="zh-CN" w:bidi="ar-SA"/>
              </w:rPr>
              <w:t>属自查范围，以自查报告为准。</w:t>
            </w:r>
          </w:p>
        </w:tc>
      </w:tr>
    </w:tbl>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pStyle w:val="11"/>
        <w:keepNext w:val="0"/>
        <w:keepLines w:val="0"/>
        <w:pageBreakBefore w:val="0"/>
        <w:widowControl w:val="0"/>
        <w:suppressLineNumbers w:val="0"/>
        <w:wordWrap/>
        <w:overflowPunct/>
        <w:topLinePunct w:val="0"/>
        <w:bidi w:val="0"/>
        <w:spacing w:before="0" w:beforeAutospacing="0" w:after="0" w:afterAutospacing="0" w:line="300" w:lineRule="exact"/>
        <w:ind w:left="0" w:right="0"/>
        <w:jc w:val="both"/>
        <w:rPr>
          <w:rFonts w:hint="eastAsia" w:ascii="仿宋_GB2312" w:hAnsi="仿宋_GB2312" w:eastAsia="仿宋_GB2312" w:cs="仿宋_GB2312"/>
          <w:b w:val="0"/>
          <w:bCs/>
          <w:color w:val="auto"/>
          <w:sz w:val="30"/>
          <w:szCs w:val="30"/>
          <w:highlight w:val="none"/>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22"/>
        <w:gridCol w:w="4275"/>
        <w:gridCol w:w="16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《临泽县绿色食品加工业发展奖励扶持办法》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临政发[2019]9号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09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4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09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4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09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4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0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3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8"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属自查范围，以自查报告为准。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84"/>
        <w:gridCol w:w="4215"/>
        <w:gridCol w:w="15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《临泽县村组道路建设管理办法》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临政发[2019]13号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25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78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25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78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25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78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45"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5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属于自查范围，以自查报告为准。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023"/>
        <w:gridCol w:w="4185"/>
        <w:gridCol w:w="1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《临泽县农村流转土地经营权登记颁证管理办法》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临政发[2019]94号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2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7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2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7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29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74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2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5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属于自查范围，以自查报告为准。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42"/>
        <w:gridCol w:w="3837"/>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《临泽县住宅小区机动车停放服务收费管理办法》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21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2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21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2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21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2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49"/>
        <w:gridCol w:w="4230"/>
        <w:gridCol w:w="16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《临泽县行政事业单位会计集中核算实施方案》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12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2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12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2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312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2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4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不涉及市场主体经济活动。</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008"/>
        <w:gridCol w:w="4020"/>
        <w:gridCol w:w="17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《临泽县农村集体资金资产资源管理办法》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临政办发[2021]21号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8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76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8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76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8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76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15"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74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65"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违反《公平竞争审查制度实施细则》标准三，不得限定经营、购买、使用特定经营者提供的商品和服务，与《反垄断法》禁止的行政限定交易行为（指定交易）的具体情形相同。</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pPr w:leftFromText="180" w:rightFromText="180" w:vertAnchor="text" w:horzAnchor="page" w:tblpX="1562" w:tblpY="259"/>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773"/>
        <w:gridCol w:w="4230"/>
        <w:gridCol w:w="17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《临泽县城镇垃圾处理费征收管理办法》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临政发[2021]23号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4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9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4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9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4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9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7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pPr w:leftFromText="180" w:rightFromText="180" w:vertAnchor="text" w:horzAnchor="page" w:tblpX="1592" w:tblpY="294"/>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20"/>
        <w:gridCol w:w="4230"/>
        <w:gridCol w:w="16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《临泽县城镇垃圾处理费征收管理办法》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临政发[2021]23号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95"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49"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95"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49"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95"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49"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0" w:afterLines="10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083"/>
        <w:gridCol w:w="4080"/>
        <w:gridCol w:w="16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《临泽县县级储备粮轮换管理办法》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《临泽县县级应急成品粮储备管理办法》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临政办发[2021]25号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5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68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5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68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5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68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第十一条语义不详：如何理解临泽县境内，具有独立法人资格？</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违反审查标准一，不得设置不合理或歧视性的准入和退出条件，包括但不限于：</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（2）没有法律、行政法规或者国务院规定依据，对不同所有制、地区、组织形式的经营者实施不合理的差别化待遇，设置不平等的市场准入和退出条件。</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2、第十二条违反审查标准一，不得设置不合理或歧视性的准入和退出条件，包括但不限于：</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（3）没有法律、行政法规或者国务院规定依据，以备案、登记、注册、目录、年检…，要求设立分支机构以及其他任何形式，设定或者变相设定市场准入障碍。</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jc w:val="center"/>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513"/>
        <w:gridCol w:w="16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《临泽县进一步推进工程项目全流程在线审批工作实施方案的通知》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临政办发[2021]26号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8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17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54"/>
        <w:gridCol w:w="4140"/>
        <w:gridCol w:w="16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《临泽县深化“证照分离”改革进一步激发市场主体发展活力实施方案》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临政办发[2021]27号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2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1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2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1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2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1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33"/>
        <w:gridCol w:w="3846"/>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《临泽县促进养老托育服务健康发展实施方案》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临政办发[2021]35号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0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3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0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3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0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3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color w:val="auto"/>
          <w:lang w:val="en-US" w:eastAsia="zh-CN"/>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pPr w:leftFromText="180" w:rightFromText="180" w:vertAnchor="text" w:horzAnchor="page" w:tblpX="1565" w:tblpY="299"/>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115"/>
        <w:gridCol w:w="4095"/>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《临泽县深化农村公路管理养护体制改革工作方案的通知》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临政办发[2021]36号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9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65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9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65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9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65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84"/>
        <w:gridCol w:w="4080"/>
        <w:gridCol w:w="17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《临泽县青少年科技创新县长奖评选办法》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5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78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5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78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5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78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78"/>
        <w:gridCol w:w="4095"/>
        <w:gridCol w:w="16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《临泽县农村土地经营权和地上附着物抵押登记管理办法》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《临泽县农村土地经营权抵押贷款管理办法》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《临泽县农业设施产权登记颁证管理办法》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5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79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5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79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5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79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《临泽县财政投资评审管理办法》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rPr>
          <w:rFonts w:hint="eastAsia"/>
          <w:color w:val="auto"/>
          <w:lang w:val="en-US" w:eastAsia="zh-CN"/>
        </w:rPr>
      </w:pPr>
    </w:p>
    <w:p>
      <w:pPr>
        <w:pStyle w:val="2"/>
        <w:rPr>
          <w:rFonts w:hint="eastAsia"/>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tbl>
      <w:tblPr>
        <w:tblStyle w:val="12"/>
        <w:tblpPr w:leftFromText="180" w:rightFromText="180" w:vertAnchor="text" w:horzAnchor="page" w:tblpX="1562" w:tblpY="299"/>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025"/>
        <w:gridCol w:w="4125"/>
        <w:gridCol w:w="16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《临泽县城区生活污水处理费征收方案的通知》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0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74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0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74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00"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74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4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03"/>
        <w:gridCol w:w="4185"/>
        <w:gridCol w:w="16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《加强县域商业体系建设促进农村消费的实施方案》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317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6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7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6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7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6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违反“影响生产经营成本标准”中“不得违法给予特定经营者优惠政策、包括但不限于：1.没有法律、行政法规或者国务院规定依据，给予特定经营者财政奖励和补贴”。从特定经营者角度界定，或者直接规定具体的受惠企业。从优惠类型分析，以“依托”“培育”“充分发挥”“做强”等概括性地表述为主。</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792"/>
        <w:gridCol w:w="4215"/>
        <w:gridCol w:w="17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《临泽县建立绿色低碳循环发展经济体系实施方案》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6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7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6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7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6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7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76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文件内容不完整。</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09"/>
        <w:gridCol w:w="4095"/>
        <w:gridCol w:w="17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《临泽县突发事件应急处置期间生活物质保障工作方案》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8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6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8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6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8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6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798"/>
        <w:gridCol w:w="4290"/>
        <w:gridCol w:w="16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临泽县人民政府《关于强化招商引资工作促进经济高质量发展的意见》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7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7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307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7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7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7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8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42"/>
        <w:gridCol w:w="4125"/>
        <w:gridCol w:w="17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《临泽县稳住经济一揽子政策措施》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1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2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1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2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1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2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70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1、违反“影响生产经营成本标准，违法给予特定经营者优惠政策”</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2、对规上工业企业分别按照不同情况给予奖励或贷款贴息扶持；</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3、对规上零售企业销售额按照同比增长比例给予相应的补助；</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4、针对丹霞口文旅小镇、《回到张掖》节目和租赁商户给予特定的支持。</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规上企业进行奖补，相当于对年主营业务收入有一定要求，部分小微企业及初创企业年营收可能达不到当地规上企业的应收标准，限制部分小微企业及初创企业参与申请补贴，将对同一行业同一领域的其他经营者造成不公平的待遇，具有排斥、限制竞争的效果。</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公平竞争审查</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104"/>
        <w:gridCol w:w="3975"/>
        <w:gridCol w:w="16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《临泽县城区污水处理费征收使用管理办法的通知》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7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66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7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66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7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66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6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03"/>
        <w:gridCol w:w="4140"/>
        <w:gridCol w:w="17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《临泽县农村集体聚餐及流动厨师管理办法》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7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6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7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6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7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6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3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72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违反《公平竞争审查制度实施细则》中“市场准入与退出标准（一）不得限定不合理或歧视性的准入和退出条件，包括但不限于：3.没有法律、行政法规或者国务院规定依据，以备案、登记、注册、目录、年检、年报、监制、认定、认证、认可、检验、监测、审定、指定、配号、复检、复审、换证、要求设立分支机构以及其他任何形式，设定或者变相设定市场准入障碍”。</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957"/>
        <w:gridCol w:w="4065"/>
        <w:gridCol w:w="17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《临泽县食品药品监管协管员管理办法》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临政发[2022]17号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3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3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23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1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7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属于管理性文件。</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jc w:val="center"/>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04"/>
        <w:gridCol w:w="3975"/>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《临泽县DIP支付方式改革三年行动实施方案》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临政办发[2022]17号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56" w:hRule="atLeast"/>
        </w:trPr>
        <w:tc>
          <w:tcPr>
            <w:tcW w:w="307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6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307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6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307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6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2038"/>
        <w:gridCol w:w="3741"/>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《临泽县扶贫资产后续管理监督办法》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1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73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1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73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31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73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37"/>
        <w:gridCol w:w="394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《临泽县农业未级渠系水费收缴管理办法》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1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1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1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49"/>
        <w:gridCol w:w="3930"/>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《临泽县“十四五”教育事业发展规划》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临政办发[2022]22号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2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color w:val="auto"/>
                <w:lang w:val="en-US" w:eastAsia="zh-CN"/>
              </w:rPr>
            </w:pPr>
          </w:p>
          <w:p>
            <w:pPr>
              <w:pStyle w:val="2"/>
              <w:rPr>
                <w:rFonts w:hint="eastAsia"/>
                <w:color w:val="auto"/>
                <w:lang w:val="en-US" w:eastAsia="zh-CN"/>
              </w:rPr>
            </w:pPr>
          </w:p>
        </w:tc>
        <w:tc>
          <w:tcPr>
            <w:tcW w:w="592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2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2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2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2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13"/>
        <w:gridCol w:w="3966"/>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《临泽县村组道路建设养护管理办法》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8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5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8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5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8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5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《临泽县地下水资源管理办法》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违反“违反市场准入和退出标准”3.没有法律、行政法规或者国务院规定依据，以备案、登记、注册、目录、年检、年报、监制、认定、认证、认可、检验、监测、审定、指定、配号、复检、复审、换证、要求设立分支机构以及其他任何形式，设定或者变相设定市场准入障碍。</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19"/>
        <w:gridCol w:w="3960"/>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《临泽县县镇两级食品药品安全委员会办公室规范化建设实施意见》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临政发[2022]26号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9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5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9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5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9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5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43"/>
        <w:gridCol w:w="3936"/>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《临泽县开展城乡房屋建筑安全隐患排查整治专项行动工作方案》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临政办发[2022]43号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1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2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1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2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1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2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属于管理性文件。</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37"/>
        <w:gridCol w:w="394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关于临泽县2013-2020年扶贫项目资产确权登记的通知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临政办函[2022]54号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1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1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1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不属于公平竞争审查范围。</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rPr>
          <w:rFonts w:hint="eastAsia" w:ascii="黑体" w:hAnsi="黑体" w:eastAsia="黑体" w:cs="黑体"/>
          <w:b w:val="0"/>
          <w:bCs/>
          <w:snapToGrid w:val="0"/>
          <w:color w:val="auto"/>
          <w:kern w:val="0"/>
          <w:sz w:val="30"/>
          <w:szCs w:val="30"/>
          <w:highlight w:val="none"/>
          <w:lang w:val="en-US" w:eastAsia="zh-CN" w:bidi="ar"/>
        </w:rPr>
      </w:pPr>
    </w:p>
    <w:p>
      <w:pPr>
        <w:pStyle w:val="2"/>
        <w:rPr>
          <w:rFonts w:hint="eastAsia" w:ascii="黑体" w:hAnsi="黑体" w:eastAsia="黑体" w:cs="黑体"/>
          <w:b w:val="0"/>
          <w:bCs/>
          <w:snapToGrid w:val="0"/>
          <w:color w:val="auto"/>
          <w:kern w:val="0"/>
          <w:sz w:val="30"/>
          <w:szCs w:val="30"/>
          <w:highlight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34"/>
        <w:gridCol w:w="3945"/>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《临泽县公路交通保障应急预案》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0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0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09"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不属于公平竞争审查范围。</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73"/>
        <w:gridCol w:w="3906"/>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《临泽县推进新建商品房交付既交证改革工作实施工作方案的通知》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4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89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4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89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48"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89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792"/>
        <w:gridCol w:w="3987"/>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《临泽县2022年农业生产社会化服务项目实施方案》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6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7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6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7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06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77"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49"/>
        <w:gridCol w:w="3930"/>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《临泽县县直部门单位招商引资激励措施》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临政办发[2022]59号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2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2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2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2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24"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2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文件内容不完整。</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ascii="仿宋_GB2312" w:hAnsi="仿宋_GB2312" w:eastAsia="仿宋_GB2312" w:cs="仿宋_GB2312"/>
          <w:b w:val="0"/>
          <w:bCs/>
          <w:snapToGrid/>
          <w:color w:val="auto"/>
          <w:spacing w:val="0"/>
          <w:kern w:val="2"/>
          <w:position w:val="0"/>
          <w:sz w:val="24"/>
          <w:szCs w:val="24"/>
          <w:lang w:val="en-US" w:eastAsia="zh-CN"/>
        </w:rPr>
      </w:pPr>
    </w:p>
    <w:p>
      <w:pPr>
        <w:rPr>
          <w:rFonts w:hint="eastAsia" w:ascii="仿宋_GB2312" w:hAnsi="仿宋_GB2312" w:eastAsia="仿宋_GB2312" w:cs="仿宋_GB2312"/>
          <w:b w:val="0"/>
          <w:bCs/>
          <w:snapToGrid/>
          <w:color w:val="auto"/>
          <w:spacing w:val="0"/>
          <w:kern w:val="2"/>
          <w:position w:val="0"/>
          <w:sz w:val="24"/>
          <w:szCs w:val="24"/>
          <w:lang w:val="en-US" w:eastAsia="zh-CN"/>
        </w:rPr>
      </w:pPr>
    </w:p>
    <w:p>
      <w:pPr>
        <w:pStyle w:val="2"/>
        <w:rPr>
          <w:rFonts w:hint="eastAsia"/>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黑体" w:hAnsi="黑体" w:eastAsia="黑体" w:cs="黑体"/>
          <w:b w:val="0"/>
          <w:bCs/>
          <w:snapToGrid w:val="0"/>
          <w:color w:val="auto"/>
          <w:kern w:val="0"/>
          <w:sz w:val="30"/>
          <w:szCs w:val="30"/>
          <w:highlight w:val="none"/>
          <w:lang w:val="en-US" w:eastAsia="zh-CN" w:bidi="ar"/>
        </w:rPr>
      </w:pPr>
      <w:r>
        <w:rPr>
          <w:rFonts w:hint="eastAsia" w:ascii="黑体" w:hAnsi="黑体" w:eastAsia="黑体" w:cs="黑体"/>
          <w:b w:val="0"/>
          <w:bCs/>
          <w:snapToGrid w:val="0"/>
          <w:color w:val="auto"/>
          <w:kern w:val="0"/>
          <w:sz w:val="30"/>
          <w:szCs w:val="30"/>
          <w:highlight w:val="none"/>
          <w:lang w:val="en-US" w:eastAsia="zh-CN" w:bidi="ar"/>
        </w:rPr>
        <w:t>公平竞争第三方审查表</w:t>
      </w:r>
    </w:p>
    <w:p>
      <w:pPr>
        <w:pStyle w:val="2"/>
        <w:rPr>
          <w:rFonts w:hint="eastAsia"/>
          <w:lang w:val="en-US" w:eastAsia="zh-C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858"/>
        <w:gridCol w:w="3921"/>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《临泽县防范政府性投资项目债务风险管理办法》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文 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临政办发[2022]68号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3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制定机关</w:t>
            </w:r>
          </w:p>
        </w:tc>
        <w:tc>
          <w:tcPr>
            <w:tcW w:w="591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临泽县人民政府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3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1、是否开展内部审查</w:t>
            </w:r>
          </w:p>
        </w:tc>
        <w:tc>
          <w:tcPr>
            <w:tcW w:w="591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3133"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2、是否履行征求意见程序</w:t>
            </w:r>
          </w:p>
        </w:tc>
        <w:tc>
          <w:tcPr>
            <w:tcW w:w="591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1、维护国家经济安全、文化安全或者设计国防建设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2、实现扶贫开发，救灾救助等社会目的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 xml:space="preserve">4、法律行政法规规定的其他情况    </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atLeas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center"/>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r>
              <w:rPr>
                <w:rFonts w:hint="eastAsia" w:ascii="仿宋_GB2312" w:hAnsi="仿宋_GB2312" w:eastAsia="仿宋_GB2312" w:cs="仿宋_GB2312"/>
                <w:b w:val="0"/>
                <w:bCs/>
                <w:snapToGrid/>
                <w:color w:val="auto"/>
                <w:spacing w:val="0"/>
                <w:kern w:val="2"/>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00" w:lineRule="exact"/>
        <w:ind w:left="0" w:right="0"/>
        <w:jc w:val="both"/>
        <w:textAlignment w:val="auto"/>
        <w:rPr>
          <w:rFonts w:hint="eastAsia" w:ascii="仿宋_GB2312" w:hAnsi="仿宋_GB2312" w:eastAsia="仿宋_GB2312" w:cs="仿宋_GB2312"/>
          <w:b w:val="0"/>
          <w:bCs/>
          <w:snapToGrid/>
          <w:color w:val="auto"/>
          <w:spacing w:val="0"/>
          <w:kern w:val="2"/>
          <w:position w:val="0"/>
          <w:sz w:val="24"/>
          <w:szCs w:val="24"/>
          <w:lang w:val="en-US" w:eastAsia="zh-CN"/>
        </w:rPr>
      </w:pPr>
    </w:p>
    <w:sectPr>
      <w:footerReference r:id="rId6" w:type="default"/>
      <w:pgSz w:w="11906" w:h="16839"/>
      <w:pgMar w:top="2098" w:right="1474" w:bottom="1984" w:left="1587" w:header="850" w:footer="1417" w:gutter="0"/>
      <w:pgBorders>
        <w:top w:val="none" w:sz="0" w:space="0"/>
        <w:left w:val="none" w:sz="0" w:space="0"/>
        <w:bottom w:val="none" w:sz="0" w:space="0"/>
        <w:right w:val="none" w:sz="0" w:space="0"/>
      </w:pgBorders>
      <w:pgNumType w:fmt="decimal" w:start="1"/>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zg5MWRhY2EyYjlmMzEyNDhmMDc0NDFiMGYxNjM2YjkifQ=="/>
  </w:docVars>
  <w:rsids>
    <w:rsidRoot w:val="00000000"/>
    <w:rsid w:val="02F16BE2"/>
    <w:rsid w:val="05423E6B"/>
    <w:rsid w:val="059F7DC4"/>
    <w:rsid w:val="06871896"/>
    <w:rsid w:val="0DB95BEC"/>
    <w:rsid w:val="123B174F"/>
    <w:rsid w:val="15933B43"/>
    <w:rsid w:val="18A53E87"/>
    <w:rsid w:val="1B5B217A"/>
    <w:rsid w:val="1B6603B7"/>
    <w:rsid w:val="1E913274"/>
    <w:rsid w:val="1F0E2613"/>
    <w:rsid w:val="212D766B"/>
    <w:rsid w:val="265A42A9"/>
    <w:rsid w:val="27AD06E6"/>
    <w:rsid w:val="2815045C"/>
    <w:rsid w:val="2F816A1B"/>
    <w:rsid w:val="3AB24F6F"/>
    <w:rsid w:val="4012098A"/>
    <w:rsid w:val="4061546E"/>
    <w:rsid w:val="41675BF0"/>
    <w:rsid w:val="42E346A1"/>
    <w:rsid w:val="43105F3B"/>
    <w:rsid w:val="4431578D"/>
    <w:rsid w:val="47DF5F1D"/>
    <w:rsid w:val="4A2479FD"/>
    <w:rsid w:val="517C1A00"/>
    <w:rsid w:val="51D36F26"/>
    <w:rsid w:val="53BE3F5B"/>
    <w:rsid w:val="54CF278B"/>
    <w:rsid w:val="55F67C51"/>
    <w:rsid w:val="56E51254"/>
    <w:rsid w:val="5AC03D85"/>
    <w:rsid w:val="5F5F3B76"/>
    <w:rsid w:val="5FD55A6F"/>
    <w:rsid w:val="61F7504C"/>
    <w:rsid w:val="62F65226"/>
    <w:rsid w:val="679949E3"/>
    <w:rsid w:val="6B601CFA"/>
    <w:rsid w:val="72774B3A"/>
    <w:rsid w:val="753F48D1"/>
    <w:rsid w:val="77FC4F69"/>
    <w:rsid w:val="7A4636E8"/>
    <w:rsid w:val="7BB260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4">
    <w:name w:val="annotation text"/>
    <w:basedOn w:val="1"/>
    <w:next w:val="5"/>
    <w:qFormat/>
    <w:uiPriority w:val="0"/>
    <w:pPr>
      <w:jc w:val="left"/>
    </w:pPr>
  </w:style>
  <w:style w:type="paragraph" w:styleId="5">
    <w:name w:val="Balloon Text"/>
    <w:basedOn w:val="1"/>
    <w:qFormat/>
    <w:uiPriority w:val="0"/>
    <w:rPr>
      <w:sz w:val="18"/>
    </w:r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Table Text"/>
    <w:basedOn w:val="1"/>
    <w:semiHidden/>
    <w:qFormat/>
    <w:uiPriority w:val="0"/>
    <w:rPr>
      <w:rFonts w:ascii="仿宋" w:hAnsi="仿宋" w:eastAsia="仿宋" w:cs="仿宋"/>
      <w:sz w:val="30"/>
      <w:szCs w:val="30"/>
      <w:lang w:val="en-US" w:eastAsia="en-US" w:bidi="ar-SA"/>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103</Pages>
  <Words>40705</Words>
  <Characters>41408</Characters>
  <TotalTime>20</TotalTime>
  <ScaleCrop>false</ScaleCrop>
  <LinksUpToDate>false</LinksUpToDate>
  <CharactersWithSpaces>43659</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2023-06-19T17:49:00Z</dcterms:created>
  <dc:creator>笑笑妈</dc:creator>
  <cp:lastModifiedBy>咨询师催眠师--静静地想你</cp:lastModifiedBy>
  <dcterms:modified xsi:type="dcterms:W3CDTF">2023-06-23T14:50:30Z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2023-06-19T21:00:47Z</vt:filetime>
  </property>
  <property fmtid="{D5CDD505-2E9C-101B-9397-08002B2CF9AE}" pid="4" name="KSOProductBuildVer">
    <vt:lpwstr>2052-11.1.0.13703</vt:lpwstr>
  </property>
  <property fmtid="{D5CDD505-2E9C-101B-9397-08002B2CF9AE}" pid="5" name="ICV">
    <vt:lpwstr>9D64E20E4F2549639B772675F2D6B39C</vt:lpwstr>
  </property>
</Properties>
</file>